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281" w:rsidRDefault="00475281" w:rsidP="00E92D61">
      <w:pPr>
        <w:spacing w:after="0" w:line="240" w:lineRule="auto"/>
        <w:jc w:val="center"/>
        <w:rPr>
          <w:rFonts w:eastAsia="SimSun" w:cstheme="minorHAnsi"/>
          <w:b/>
          <w:color w:val="000000" w:themeColor="text1"/>
          <w:sz w:val="24"/>
          <w:szCs w:val="24"/>
          <w:lang w:val="fr-FR" w:eastAsia="zh-CN"/>
        </w:rPr>
      </w:pPr>
      <w:r>
        <w:rPr>
          <w:rFonts w:eastAsia="SimSun" w:cstheme="minorHAnsi"/>
          <w:b/>
          <w:noProof/>
          <w:sz w:val="24"/>
          <w:szCs w:val="24"/>
          <w:lang w:val="en-GB" w:eastAsia="en-GB"/>
        </w:rPr>
        <w:drawing>
          <wp:anchor distT="0" distB="0" distL="114300" distR="114300" simplePos="0" relativeHeight="251658240" behindDoc="0" locked="0" layoutInCell="1" allowOverlap="1">
            <wp:simplePos x="0" y="0"/>
            <wp:positionH relativeFrom="page">
              <wp:posOffset>38636</wp:posOffset>
            </wp:positionH>
            <wp:positionV relativeFrom="paragraph">
              <wp:posOffset>-913765</wp:posOffset>
            </wp:positionV>
            <wp:extent cx="2724150" cy="1271772"/>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2724150" cy="1271772"/>
                    </a:xfrm>
                    <a:prstGeom prst="rect">
                      <a:avLst/>
                    </a:prstGeom>
                  </pic:spPr>
                </pic:pic>
              </a:graphicData>
            </a:graphic>
          </wp:anchor>
        </w:drawing>
      </w:r>
    </w:p>
    <w:p w:rsidR="00E92D61" w:rsidRPr="00475281" w:rsidRDefault="00E92D61" w:rsidP="00E92D61">
      <w:pPr>
        <w:spacing w:after="0" w:line="240" w:lineRule="auto"/>
        <w:jc w:val="center"/>
        <w:rPr>
          <w:rFonts w:eastAsia="SimSun" w:cstheme="minorHAnsi"/>
          <w:b/>
          <w:color w:val="000000" w:themeColor="text1"/>
          <w:sz w:val="24"/>
          <w:szCs w:val="24"/>
          <w:lang w:val="fr-FR" w:eastAsia="zh-CN"/>
        </w:rPr>
      </w:pPr>
      <w:r w:rsidRPr="00475281">
        <w:rPr>
          <w:rFonts w:eastAsia="SimSun" w:cstheme="minorHAnsi"/>
          <w:b/>
          <w:color w:val="000000" w:themeColor="text1"/>
          <w:sz w:val="24"/>
          <w:szCs w:val="24"/>
          <w:lang w:val="fr-FR" w:eastAsia="zh-CN"/>
        </w:rPr>
        <w:t>COMUNICAT DE PRESĂ</w:t>
      </w:r>
    </w:p>
    <w:p w:rsidR="00E92D61" w:rsidRPr="00475281" w:rsidRDefault="00E92D61" w:rsidP="00E92D61">
      <w:pPr>
        <w:spacing w:after="0" w:line="240" w:lineRule="auto"/>
        <w:jc w:val="both"/>
        <w:rPr>
          <w:rFonts w:eastAsia="SimSun" w:cstheme="minorHAnsi"/>
          <w:color w:val="956C74"/>
          <w:lang w:val="fr-FR" w:eastAsia="zh-CN"/>
        </w:rPr>
      </w:pPr>
    </w:p>
    <w:p w:rsidR="00E92D61" w:rsidRPr="00475281" w:rsidRDefault="00E92D61" w:rsidP="00E92D61">
      <w:pPr>
        <w:spacing w:after="0" w:line="240" w:lineRule="auto"/>
        <w:jc w:val="center"/>
        <w:rPr>
          <w:rFonts w:eastAsia="SimSun" w:cstheme="minorHAnsi"/>
          <w:b/>
          <w:color w:val="956C74"/>
          <w:sz w:val="24"/>
          <w:szCs w:val="24"/>
          <w:lang w:val="fr-FR" w:eastAsia="zh-CN"/>
        </w:rPr>
      </w:pPr>
      <w:proofErr w:type="spellStart"/>
      <w:r w:rsidRPr="00475281">
        <w:rPr>
          <w:rFonts w:eastAsia="SimSun" w:cstheme="minorHAnsi"/>
          <w:b/>
          <w:color w:val="956C74"/>
          <w:sz w:val="24"/>
          <w:szCs w:val="24"/>
          <w:lang w:val="fr-FR" w:eastAsia="zh-CN"/>
        </w:rPr>
        <w:t>Campania</w:t>
      </w:r>
      <w:proofErr w:type="spellEnd"/>
      <w:r w:rsidRPr="00475281">
        <w:rPr>
          <w:rFonts w:eastAsia="SimSun" w:cstheme="minorHAnsi"/>
          <w:b/>
          <w:color w:val="956C74"/>
          <w:sz w:val="24"/>
          <w:szCs w:val="24"/>
          <w:lang w:val="fr-FR" w:eastAsia="zh-CN"/>
        </w:rPr>
        <w:t xml:space="preserve"> </w:t>
      </w:r>
    </w:p>
    <w:p w:rsidR="00E92D61" w:rsidRPr="00475281" w:rsidRDefault="00E92D61" w:rsidP="0060317E">
      <w:pPr>
        <w:spacing w:after="0" w:line="240" w:lineRule="auto"/>
        <w:jc w:val="center"/>
        <w:rPr>
          <w:rFonts w:eastAsia="SimSun" w:cstheme="minorHAnsi"/>
          <w:b/>
          <w:color w:val="956C74"/>
          <w:sz w:val="24"/>
          <w:szCs w:val="24"/>
          <w:lang w:val="fr-FR" w:eastAsia="zh-CN"/>
        </w:rPr>
      </w:pPr>
      <w:r w:rsidRPr="00475281">
        <w:rPr>
          <w:rFonts w:eastAsia="SimSun" w:cstheme="minorHAnsi"/>
          <w:b/>
          <w:color w:val="956C74"/>
          <w:sz w:val="24"/>
          <w:szCs w:val="24"/>
          <w:lang w:val="fr-FR" w:eastAsia="zh-CN"/>
        </w:rPr>
        <w:t>„</w:t>
      </w:r>
      <w:r w:rsidR="0060317E" w:rsidRPr="00475281">
        <w:rPr>
          <w:rFonts w:eastAsia="SimSun" w:cstheme="minorHAnsi"/>
          <w:b/>
          <w:color w:val="956C74"/>
          <w:sz w:val="24"/>
          <w:szCs w:val="24"/>
          <w:lang w:val="fr-FR" w:eastAsia="zh-CN"/>
        </w:rPr>
        <w:t xml:space="preserve"> </w:t>
      </w:r>
      <w:proofErr w:type="spellStart"/>
      <w:r w:rsidR="0060317E" w:rsidRPr="00475281">
        <w:rPr>
          <w:rFonts w:eastAsia="SimSun" w:cstheme="minorHAnsi"/>
          <w:b/>
          <w:color w:val="956C74"/>
          <w:sz w:val="24"/>
          <w:szCs w:val="24"/>
          <w:lang w:val="fr-FR" w:eastAsia="zh-CN"/>
        </w:rPr>
        <w:t>Împreună</w:t>
      </w:r>
      <w:proofErr w:type="spellEnd"/>
      <w:r w:rsidR="0060317E" w:rsidRPr="00475281">
        <w:rPr>
          <w:rFonts w:eastAsia="SimSun" w:cstheme="minorHAnsi"/>
          <w:b/>
          <w:color w:val="956C74"/>
          <w:sz w:val="24"/>
          <w:szCs w:val="24"/>
          <w:lang w:val="fr-FR" w:eastAsia="zh-CN"/>
        </w:rPr>
        <w:t xml:space="preserve"> </w:t>
      </w:r>
      <w:proofErr w:type="spellStart"/>
      <w:r w:rsidR="0060317E" w:rsidRPr="00475281">
        <w:rPr>
          <w:rFonts w:eastAsia="SimSun" w:cstheme="minorHAnsi"/>
          <w:b/>
          <w:color w:val="956C74"/>
          <w:sz w:val="24"/>
          <w:szCs w:val="24"/>
          <w:lang w:val="fr-FR" w:eastAsia="zh-CN"/>
        </w:rPr>
        <w:t>pentru</w:t>
      </w:r>
      <w:proofErr w:type="spellEnd"/>
      <w:r w:rsidR="0060317E" w:rsidRPr="00475281">
        <w:rPr>
          <w:rFonts w:eastAsia="SimSun" w:cstheme="minorHAnsi"/>
          <w:b/>
          <w:color w:val="956C74"/>
          <w:sz w:val="24"/>
          <w:szCs w:val="24"/>
          <w:lang w:val="fr-FR" w:eastAsia="zh-CN"/>
        </w:rPr>
        <w:t xml:space="preserve"> o </w:t>
      </w:r>
      <w:proofErr w:type="spellStart"/>
      <w:r w:rsidR="0060317E" w:rsidRPr="00475281">
        <w:rPr>
          <w:rFonts w:eastAsia="SimSun" w:cstheme="minorHAnsi"/>
          <w:b/>
          <w:color w:val="956C74"/>
          <w:sz w:val="24"/>
          <w:szCs w:val="24"/>
          <w:lang w:val="fr-FR" w:eastAsia="zh-CN"/>
        </w:rPr>
        <w:t>lume</w:t>
      </w:r>
      <w:proofErr w:type="spellEnd"/>
      <w:r w:rsidR="0060317E" w:rsidRPr="00475281">
        <w:rPr>
          <w:rFonts w:eastAsia="SimSun" w:cstheme="minorHAnsi"/>
          <w:b/>
          <w:color w:val="956C74"/>
          <w:sz w:val="24"/>
          <w:szCs w:val="24"/>
          <w:lang w:val="fr-FR" w:eastAsia="zh-CN"/>
        </w:rPr>
        <w:t xml:space="preserve"> mai </w:t>
      </w:r>
      <w:proofErr w:type="spellStart"/>
      <w:r w:rsidR="0060317E" w:rsidRPr="00475281">
        <w:rPr>
          <w:rFonts w:eastAsia="SimSun" w:cstheme="minorHAnsi"/>
          <w:b/>
          <w:color w:val="956C74"/>
          <w:sz w:val="24"/>
          <w:szCs w:val="24"/>
          <w:lang w:val="fr-FR" w:eastAsia="zh-CN"/>
        </w:rPr>
        <w:t>echitabilă</w:t>
      </w:r>
      <w:proofErr w:type="spellEnd"/>
      <w:r w:rsidR="0060317E" w:rsidRPr="00475281">
        <w:rPr>
          <w:rFonts w:eastAsia="SimSun" w:cstheme="minorHAnsi"/>
          <w:b/>
          <w:color w:val="956C74"/>
          <w:sz w:val="24"/>
          <w:szCs w:val="24"/>
          <w:lang w:val="fr-FR" w:eastAsia="zh-CN"/>
        </w:rPr>
        <w:t xml:space="preserve"> și mai </w:t>
      </w:r>
      <w:proofErr w:type="spellStart"/>
      <w:r w:rsidR="0060317E" w:rsidRPr="00475281">
        <w:rPr>
          <w:rFonts w:eastAsia="SimSun" w:cstheme="minorHAnsi"/>
          <w:b/>
          <w:color w:val="956C74"/>
          <w:sz w:val="24"/>
          <w:szCs w:val="24"/>
          <w:lang w:val="fr-FR" w:eastAsia="zh-CN"/>
        </w:rPr>
        <w:t>sănătoasă</w:t>
      </w:r>
      <w:proofErr w:type="spellEnd"/>
      <w:r w:rsidRPr="00475281">
        <w:rPr>
          <w:rFonts w:eastAsia="SimSun" w:cstheme="minorHAnsi"/>
          <w:b/>
          <w:color w:val="956C74"/>
          <w:sz w:val="24"/>
          <w:szCs w:val="24"/>
          <w:lang w:val="fr-FR" w:eastAsia="zh-CN"/>
        </w:rPr>
        <w:t>!”</w:t>
      </w:r>
    </w:p>
    <w:p w:rsidR="00E92D61" w:rsidRPr="00475281" w:rsidRDefault="0060317E" w:rsidP="0060317E">
      <w:pPr>
        <w:spacing w:after="0" w:line="240" w:lineRule="auto"/>
        <w:jc w:val="center"/>
        <w:rPr>
          <w:rFonts w:eastAsia="SimSun" w:cstheme="minorHAnsi"/>
          <w:b/>
          <w:color w:val="956C74"/>
          <w:sz w:val="28"/>
          <w:szCs w:val="28"/>
          <w:lang w:val="fr-FR" w:eastAsia="zh-CN"/>
        </w:rPr>
      </w:pPr>
      <w:r w:rsidRPr="00475281">
        <w:rPr>
          <w:rFonts w:eastAsia="SimSun" w:cstheme="minorHAnsi"/>
          <w:b/>
          <w:color w:val="956C74"/>
          <w:sz w:val="24"/>
          <w:szCs w:val="24"/>
          <w:lang w:val="fr-FR" w:eastAsia="zh-CN"/>
        </w:rPr>
        <w:t xml:space="preserve">7 </w:t>
      </w:r>
      <w:proofErr w:type="spellStart"/>
      <w:r w:rsidRPr="00475281">
        <w:rPr>
          <w:rFonts w:eastAsia="SimSun" w:cstheme="minorHAnsi"/>
          <w:b/>
          <w:color w:val="956C74"/>
          <w:sz w:val="24"/>
          <w:szCs w:val="24"/>
          <w:lang w:val="fr-FR" w:eastAsia="zh-CN"/>
        </w:rPr>
        <w:t>aprilie</w:t>
      </w:r>
      <w:proofErr w:type="spellEnd"/>
      <w:r w:rsidRPr="00475281">
        <w:rPr>
          <w:rFonts w:eastAsia="SimSun" w:cstheme="minorHAnsi"/>
          <w:b/>
          <w:color w:val="956C74"/>
          <w:sz w:val="24"/>
          <w:szCs w:val="24"/>
          <w:lang w:val="fr-FR" w:eastAsia="zh-CN"/>
        </w:rPr>
        <w:t xml:space="preserve"> -12 </w:t>
      </w:r>
      <w:proofErr w:type="spellStart"/>
      <w:r w:rsidRPr="00475281">
        <w:rPr>
          <w:rFonts w:eastAsia="SimSun" w:cstheme="minorHAnsi"/>
          <w:b/>
          <w:color w:val="956C74"/>
          <w:sz w:val="24"/>
          <w:szCs w:val="24"/>
          <w:lang w:val="fr-FR" w:eastAsia="zh-CN"/>
        </w:rPr>
        <w:t>decembrie</w:t>
      </w:r>
      <w:proofErr w:type="spellEnd"/>
      <w:r w:rsidRPr="00475281">
        <w:rPr>
          <w:rFonts w:eastAsia="SimSun" w:cstheme="minorHAnsi"/>
          <w:b/>
          <w:color w:val="956C74"/>
          <w:sz w:val="24"/>
          <w:szCs w:val="24"/>
          <w:lang w:val="fr-FR" w:eastAsia="zh-CN"/>
        </w:rPr>
        <w:t xml:space="preserve"> 2021</w:t>
      </w:r>
    </w:p>
    <w:p w:rsidR="0060317E" w:rsidRPr="009F5D42" w:rsidRDefault="0060317E" w:rsidP="0060317E">
      <w:pPr>
        <w:rPr>
          <w:rFonts w:eastAsia="Calibri" w:cstheme="minorHAnsi"/>
          <w:b/>
          <w:sz w:val="24"/>
          <w:szCs w:val="24"/>
          <w:lang w:val="it-IT"/>
        </w:rPr>
      </w:pPr>
    </w:p>
    <w:p w:rsidR="0060317E" w:rsidRPr="00475281" w:rsidRDefault="00E92D61" w:rsidP="0060317E">
      <w:pPr>
        <w:jc w:val="both"/>
        <w:rPr>
          <w:rFonts w:cstheme="minorHAnsi"/>
          <w:b/>
          <w:bCs/>
          <w:i/>
          <w:iCs/>
          <w:color w:val="956C74"/>
          <w:sz w:val="24"/>
          <w:szCs w:val="24"/>
          <w:lang w:val="it-IT"/>
        </w:rPr>
      </w:pPr>
      <w:r w:rsidRPr="00475281">
        <w:rPr>
          <w:rFonts w:eastAsia="Calibri" w:cstheme="minorHAnsi"/>
          <w:b/>
          <w:color w:val="956C74"/>
          <w:sz w:val="24"/>
          <w:szCs w:val="24"/>
          <w:lang w:val="it-IT"/>
        </w:rPr>
        <w:t xml:space="preserve">Ministerul Sănătății </w:t>
      </w:r>
      <w:r w:rsidR="00883D3F" w:rsidRPr="00475281">
        <w:rPr>
          <w:rFonts w:eastAsia="Calibri" w:cstheme="minorHAnsi"/>
          <w:b/>
          <w:color w:val="956C74"/>
          <w:sz w:val="24"/>
          <w:szCs w:val="24"/>
          <w:lang w:val="it-IT"/>
        </w:rPr>
        <w:t xml:space="preserve"> cu ocazia Zilei Mondiale a Sănătății </w:t>
      </w:r>
      <w:r w:rsidR="0060317E" w:rsidRPr="00475281">
        <w:rPr>
          <w:rFonts w:eastAsia="Calibri" w:cstheme="minorHAnsi"/>
          <w:b/>
          <w:color w:val="956C74"/>
          <w:sz w:val="24"/>
          <w:szCs w:val="24"/>
          <w:lang w:val="it-IT"/>
        </w:rPr>
        <w:t xml:space="preserve"> 7 aprilie 2021</w:t>
      </w:r>
      <w:r w:rsidR="009F5D42" w:rsidRPr="00475281">
        <w:rPr>
          <w:rFonts w:eastAsia="Calibri" w:cstheme="minorHAnsi"/>
          <w:b/>
          <w:color w:val="956C74"/>
          <w:sz w:val="24"/>
          <w:szCs w:val="24"/>
          <w:lang w:val="it-IT"/>
        </w:rPr>
        <w:t>,</w:t>
      </w:r>
      <w:r w:rsidR="0060317E" w:rsidRPr="00475281">
        <w:rPr>
          <w:rFonts w:eastAsia="Calibri" w:cstheme="minorHAnsi"/>
          <w:b/>
          <w:color w:val="956C74"/>
          <w:sz w:val="24"/>
          <w:szCs w:val="24"/>
          <w:lang w:val="it-IT"/>
        </w:rPr>
        <w:t xml:space="preserve"> lanseaz</w:t>
      </w:r>
      <w:r w:rsidR="009F5D42" w:rsidRPr="00475281">
        <w:rPr>
          <w:rFonts w:eastAsia="Calibri" w:cstheme="minorHAnsi"/>
          <w:b/>
          <w:color w:val="956C74"/>
          <w:sz w:val="24"/>
          <w:szCs w:val="24"/>
          <w:lang w:val="it-IT"/>
        </w:rPr>
        <w:t>ă</w:t>
      </w:r>
      <w:r w:rsidR="0060317E" w:rsidRPr="00475281">
        <w:rPr>
          <w:rFonts w:eastAsia="Calibri" w:cstheme="minorHAnsi"/>
          <w:b/>
          <w:color w:val="956C74"/>
          <w:sz w:val="24"/>
          <w:szCs w:val="24"/>
          <w:lang w:val="it-IT"/>
        </w:rPr>
        <w:t xml:space="preserve"> o campanie de informare, educare, comunicare, sub sloganul </w:t>
      </w:r>
      <w:r w:rsidR="0060317E" w:rsidRPr="00475281">
        <w:rPr>
          <w:rFonts w:cstheme="minorHAnsi"/>
          <w:b/>
          <w:bCs/>
          <w:i/>
          <w:iCs/>
          <w:color w:val="956C74"/>
          <w:sz w:val="24"/>
          <w:szCs w:val="24"/>
          <w:lang w:val="it-IT"/>
        </w:rPr>
        <w:t>Împreună pentru o lume mai echitabilă și mai sănătoasă!</w:t>
      </w:r>
      <w:r w:rsidR="009F5D42" w:rsidRPr="00475281">
        <w:rPr>
          <w:rFonts w:cstheme="minorHAnsi"/>
          <w:b/>
          <w:bCs/>
          <w:i/>
          <w:iCs/>
          <w:color w:val="956C74"/>
          <w:sz w:val="24"/>
          <w:szCs w:val="24"/>
          <w:lang w:val="it-IT"/>
        </w:rPr>
        <w:t>,</w:t>
      </w:r>
      <w:r w:rsidR="002932F0">
        <w:rPr>
          <w:rFonts w:cstheme="minorHAnsi"/>
          <w:b/>
          <w:bCs/>
          <w:i/>
          <w:iCs/>
          <w:color w:val="956C74"/>
          <w:sz w:val="24"/>
          <w:szCs w:val="24"/>
          <w:lang w:val="it-IT"/>
        </w:rPr>
        <w:t xml:space="preserve"> </w:t>
      </w:r>
      <w:r w:rsidR="009F5D42" w:rsidRPr="00475281">
        <w:rPr>
          <w:rFonts w:cstheme="minorHAnsi"/>
          <w:b/>
          <w:bCs/>
          <w:color w:val="956C74"/>
          <w:sz w:val="24"/>
          <w:szCs w:val="24"/>
          <w:lang w:val="it-IT"/>
        </w:rPr>
        <w:t>campanie</w:t>
      </w:r>
      <w:r w:rsidR="0060317E" w:rsidRPr="00475281">
        <w:rPr>
          <w:rFonts w:cstheme="minorHAnsi"/>
          <w:b/>
          <w:bCs/>
          <w:i/>
          <w:iCs/>
          <w:color w:val="956C74"/>
          <w:sz w:val="24"/>
          <w:szCs w:val="24"/>
          <w:lang w:val="it-IT"/>
        </w:rPr>
        <w:t xml:space="preserve"> </w:t>
      </w:r>
      <w:r w:rsidR="009F5D42" w:rsidRPr="00475281">
        <w:rPr>
          <w:rFonts w:cstheme="minorHAnsi"/>
          <w:b/>
          <w:bCs/>
          <w:color w:val="956C74"/>
          <w:sz w:val="24"/>
          <w:szCs w:val="24"/>
          <w:lang w:val="it-IT"/>
        </w:rPr>
        <w:t>c</w:t>
      </w:r>
      <w:r w:rsidR="0060317E" w:rsidRPr="00475281">
        <w:rPr>
          <w:rFonts w:cstheme="minorHAnsi"/>
          <w:b/>
          <w:bCs/>
          <w:color w:val="956C74"/>
          <w:sz w:val="24"/>
          <w:szCs w:val="24"/>
          <w:lang w:val="it-IT"/>
        </w:rPr>
        <w:t xml:space="preserve">are aduce în atenția decidenților și a populației </w:t>
      </w:r>
      <w:r w:rsidR="008658A3" w:rsidRPr="00475281">
        <w:rPr>
          <w:rFonts w:cstheme="minorHAnsi"/>
          <w:b/>
          <w:bCs/>
          <w:color w:val="956C74"/>
          <w:sz w:val="24"/>
          <w:szCs w:val="24"/>
          <w:lang w:val="it-IT"/>
        </w:rPr>
        <w:t>necesitatea intervențiilor în toate politicile pentru diminuarea inechităților în materie de sănătate</w:t>
      </w:r>
      <w:r w:rsidR="008658A3" w:rsidRPr="00475281">
        <w:rPr>
          <w:rFonts w:cstheme="minorHAnsi"/>
          <w:b/>
          <w:bCs/>
          <w:i/>
          <w:iCs/>
          <w:color w:val="956C74"/>
          <w:sz w:val="24"/>
          <w:szCs w:val="24"/>
          <w:lang w:val="it-IT"/>
        </w:rPr>
        <w:t xml:space="preserve">. </w:t>
      </w:r>
    </w:p>
    <w:p w:rsidR="0060317E" w:rsidRDefault="0060317E" w:rsidP="0060317E">
      <w:pPr>
        <w:jc w:val="both"/>
        <w:rPr>
          <w:rFonts w:cstheme="minorHAnsi"/>
          <w:sz w:val="24"/>
          <w:szCs w:val="24"/>
          <w:lang w:val="it-IT"/>
        </w:rPr>
      </w:pPr>
      <w:r w:rsidRPr="008658A3">
        <w:rPr>
          <w:rFonts w:cstheme="minorHAnsi"/>
          <w:i/>
          <w:iCs/>
          <w:sz w:val="24"/>
          <w:szCs w:val="24"/>
          <w:lang w:val="it-IT"/>
        </w:rPr>
        <w:t xml:space="preserve"> </w:t>
      </w:r>
      <w:r w:rsidRPr="008658A3">
        <w:rPr>
          <w:rFonts w:cstheme="minorHAnsi"/>
          <w:sz w:val="24"/>
          <w:szCs w:val="24"/>
          <w:lang w:val="it-IT"/>
        </w:rPr>
        <w:t xml:space="preserve">Campania  va fi  implementată </w:t>
      </w:r>
      <w:r w:rsidRPr="009F5D42">
        <w:rPr>
          <w:rFonts w:cstheme="minorHAnsi"/>
          <w:i/>
          <w:iCs/>
          <w:sz w:val="24"/>
          <w:szCs w:val="24"/>
          <w:lang w:val="it-IT"/>
        </w:rPr>
        <w:t>pe durata  a opt luni</w:t>
      </w:r>
      <w:r w:rsidR="008658A3" w:rsidRPr="009F5D42">
        <w:rPr>
          <w:rFonts w:cstheme="minorHAnsi"/>
          <w:i/>
          <w:iCs/>
          <w:sz w:val="24"/>
          <w:szCs w:val="24"/>
          <w:lang w:val="it-IT"/>
        </w:rPr>
        <w:t>,</w:t>
      </w:r>
      <w:r w:rsidRPr="009F5D42">
        <w:rPr>
          <w:rFonts w:cstheme="minorHAnsi"/>
          <w:i/>
          <w:iCs/>
          <w:sz w:val="24"/>
          <w:szCs w:val="24"/>
          <w:lang w:val="it-IT"/>
        </w:rPr>
        <w:t xml:space="preserve">  în perioada  7 aprilie -12 decembrie 2021</w:t>
      </w:r>
      <w:r w:rsidRPr="008658A3">
        <w:rPr>
          <w:rFonts w:cstheme="minorHAnsi"/>
          <w:sz w:val="24"/>
          <w:szCs w:val="24"/>
          <w:lang w:val="it-IT"/>
        </w:rPr>
        <w:t xml:space="preserve"> și are scopul de creștere a gradului de conștientizare, promovare  publică, implicare a factorilor de decizie guvernamentali și creare de parteneriate pentru a aborda inechitățile în materie de sănătate.</w:t>
      </w:r>
    </w:p>
    <w:p w:rsidR="008658A3" w:rsidRDefault="008658A3" w:rsidP="008658A3">
      <w:pPr>
        <w:spacing w:after="0"/>
        <w:ind w:right="-61"/>
        <w:jc w:val="both"/>
        <w:rPr>
          <w:sz w:val="24"/>
          <w:szCs w:val="24"/>
          <w:lang w:val="it-IT"/>
        </w:rPr>
      </w:pPr>
      <w:r>
        <w:rPr>
          <w:rFonts w:cstheme="minorHAnsi"/>
          <w:sz w:val="24"/>
          <w:szCs w:val="24"/>
          <w:lang w:val="it-IT"/>
        </w:rPr>
        <w:t xml:space="preserve">Campania  are ca  </w:t>
      </w:r>
      <w:r w:rsidRPr="009D3FCB">
        <w:rPr>
          <w:rFonts w:cstheme="minorHAnsi"/>
          <w:i/>
          <w:iCs/>
          <w:sz w:val="24"/>
          <w:szCs w:val="24"/>
          <w:lang w:val="it-IT"/>
        </w:rPr>
        <w:t xml:space="preserve">obiectiv principal  </w:t>
      </w:r>
      <w:r w:rsidR="002932F0">
        <w:rPr>
          <w:rFonts w:cstheme="minorHAnsi"/>
          <w:i/>
          <w:iCs/>
          <w:sz w:val="24"/>
          <w:szCs w:val="24"/>
          <w:lang w:val="it-IT"/>
        </w:rPr>
        <w:t>î</w:t>
      </w:r>
      <w:r w:rsidRPr="009D3FCB">
        <w:rPr>
          <w:rFonts w:cstheme="minorHAnsi"/>
          <w:i/>
          <w:iCs/>
          <w:sz w:val="24"/>
          <w:szCs w:val="24"/>
          <w:lang w:val="it-IT"/>
        </w:rPr>
        <w:t>n fiecare dintre cele opt luni</w:t>
      </w:r>
      <w:r>
        <w:rPr>
          <w:rFonts w:cstheme="minorHAnsi"/>
          <w:sz w:val="24"/>
          <w:szCs w:val="24"/>
          <w:lang w:val="it-IT"/>
        </w:rPr>
        <w:t xml:space="preserve"> </w:t>
      </w:r>
      <w:r w:rsidRPr="008658A3">
        <w:rPr>
          <w:sz w:val="24"/>
          <w:szCs w:val="24"/>
          <w:lang w:val="it-IT"/>
        </w:rPr>
        <w:t xml:space="preserve">creșterea nivelului de informare cu privire la:   </w:t>
      </w:r>
      <w:r>
        <w:rPr>
          <w:sz w:val="24"/>
          <w:szCs w:val="24"/>
          <w:lang w:val="it-IT"/>
        </w:rPr>
        <w:t>d</w:t>
      </w:r>
      <w:r w:rsidRPr="008658A3">
        <w:rPr>
          <w:sz w:val="24"/>
          <w:szCs w:val="24"/>
          <w:lang w:val="it-IT"/>
        </w:rPr>
        <w:t>eterminanții sociali ai stării de sănătate ai populației vulnerabile (aprilie)</w:t>
      </w:r>
      <w:r>
        <w:rPr>
          <w:sz w:val="24"/>
          <w:szCs w:val="24"/>
          <w:lang w:val="it-IT"/>
        </w:rPr>
        <w:t>, s</w:t>
      </w:r>
      <w:r w:rsidRPr="008658A3">
        <w:rPr>
          <w:sz w:val="24"/>
          <w:szCs w:val="24"/>
          <w:lang w:val="it-IT"/>
        </w:rPr>
        <w:t>tarea de sănătate și percepția acesteia în rândul populației vulnerabile comparativ cu populatia generala (mai)</w:t>
      </w:r>
      <w:r>
        <w:rPr>
          <w:sz w:val="24"/>
          <w:szCs w:val="24"/>
          <w:lang w:val="it-IT"/>
        </w:rPr>
        <w:t>,</w:t>
      </w:r>
      <w:r w:rsidRPr="008658A3">
        <w:rPr>
          <w:sz w:val="24"/>
          <w:szCs w:val="24"/>
          <w:lang w:val="it-IT"/>
        </w:rPr>
        <w:t xml:space="preserve">  </w:t>
      </w:r>
      <w:r>
        <w:rPr>
          <w:sz w:val="24"/>
          <w:szCs w:val="24"/>
          <w:lang w:val="it-IT"/>
        </w:rPr>
        <w:t>p</w:t>
      </w:r>
      <w:r w:rsidRPr="008658A3">
        <w:rPr>
          <w:sz w:val="24"/>
          <w:szCs w:val="24"/>
          <w:lang w:val="it-IT"/>
        </w:rPr>
        <w:t>roblematica asigurării accesului la servicii pentru populația vulnerabilă (iunie)</w:t>
      </w:r>
      <w:r>
        <w:rPr>
          <w:sz w:val="24"/>
          <w:szCs w:val="24"/>
          <w:lang w:val="it-IT"/>
        </w:rPr>
        <w:t>,</w:t>
      </w:r>
      <w:r w:rsidRPr="008658A3">
        <w:rPr>
          <w:sz w:val="24"/>
          <w:szCs w:val="24"/>
          <w:lang w:val="it-IT"/>
        </w:rPr>
        <w:t xml:space="preserve"> </w:t>
      </w:r>
      <w:r>
        <w:rPr>
          <w:sz w:val="24"/>
          <w:szCs w:val="24"/>
          <w:lang w:val="it-IT"/>
        </w:rPr>
        <w:t xml:space="preserve"> c</w:t>
      </w:r>
      <w:r w:rsidRPr="008658A3">
        <w:rPr>
          <w:sz w:val="24"/>
          <w:szCs w:val="24"/>
          <w:lang w:val="it-IT"/>
        </w:rPr>
        <w:t>omportamentele cu risc pentru sănătate în rândul populației vulnerabile (iulie)</w:t>
      </w:r>
      <w:r>
        <w:rPr>
          <w:sz w:val="24"/>
          <w:szCs w:val="24"/>
          <w:lang w:val="it-IT"/>
        </w:rPr>
        <w:t>,  a</w:t>
      </w:r>
      <w:r w:rsidRPr="008658A3">
        <w:rPr>
          <w:sz w:val="24"/>
          <w:szCs w:val="24"/>
          <w:lang w:val="it-IT"/>
        </w:rPr>
        <w:t>utomedicația și consumul de antibiotice la populația vulnerabilă(august)</w:t>
      </w:r>
      <w:r>
        <w:rPr>
          <w:sz w:val="24"/>
          <w:szCs w:val="24"/>
          <w:lang w:val="it-IT"/>
        </w:rPr>
        <w:t>,  s</w:t>
      </w:r>
      <w:r w:rsidRPr="008658A3">
        <w:rPr>
          <w:sz w:val="24"/>
          <w:szCs w:val="24"/>
          <w:lang w:val="it-IT"/>
        </w:rPr>
        <w:t>tarea de sănătate a femeilor din comunitățile vulnerabile, inclusiv sănătatea reproducerii (septembrie)</w:t>
      </w:r>
      <w:r>
        <w:rPr>
          <w:sz w:val="24"/>
          <w:szCs w:val="24"/>
          <w:lang w:val="it-IT"/>
        </w:rPr>
        <w:t>,</w:t>
      </w:r>
      <w:r w:rsidRPr="008658A3">
        <w:rPr>
          <w:sz w:val="24"/>
          <w:szCs w:val="24"/>
          <w:lang w:val="it-IT"/>
        </w:rPr>
        <w:t xml:space="preserve"> </w:t>
      </w:r>
      <w:r>
        <w:rPr>
          <w:sz w:val="24"/>
          <w:szCs w:val="24"/>
          <w:lang w:val="it-IT"/>
        </w:rPr>
        <w:t>s</w:t>
      </w:r>
      <w:r w:rsidRPr="008658A3">
        <w:rPr>
          <w:sz w:val="24"/>
          <w:szCs w:val="24"/>
          <w:lang w:val="it-IT"/>
        </w:rPr>
        <w:t>tarea de sănătate a copiilor în comunitățile vulnerabile (octombrie)</w:t>
      </w:r>
      <w:r>
        <w:rPr>
          <w:sz w:val="24"/>
          <w:szCs w:val="24"/>
          <w:lang w:val="it-IT"/>
        </w:rPr>
        <w:t xml:space="preserve"> și </w:t>
      </w:r>
      <w:r w:rsidRPr="008658A3">
        <w:rPr>
          <w:sz w:val="24"/>
          <w:szCs w:val="24"/>
          <w:lang w:val="it-IT"/>
        </w:rPr>
        <w:t xml:space="preserve"> </w:t>
      </w:r>
      <w:r w:rsidR="009D3FCB">
        <w:rPr>
          <w:sz w:val="24"/>
          <w:szCs w:val="24"/>
          <w:lang w:val="it-IT"/>
        </w:rPr>
        <w:t>d</w:t>
      </w:r>
      <w:r w:rsidRPr="008658A3">
        <w:rPr>
          <w:sz w:val="24"/>
          <w:szCs w:val="24"/>
          <w:lang w:val="it-IT"/>
        </w:rPr>
        <w:t>repturile la sănătate și la  servicii de sănătate ale populației vulenerabile (noiembrie)</w:t>
      </w:r>
    </w:p>
    <w:p w:rsidR="00475281" w:rsidRPr="008658A3" w:rsidRDefault="00475281" w:rsidP="008658A3">
      <w:pPr>
        <w:spacing w:after="0"/>
        <w:ind w:right="-61"/>
        <w:jc w:val="both"/>
        <w:rPr>
          <w:sz w:val="24"/>
          <w:szCs w:val="24"/>
          <w:lang w:val="it-IT"/>
        </w:rPr>
      </w:pPr>
    </w:p>
    <w:p w:rsidR="009F5D42" w:rsidRPr="009F5D42" w:rsidRDefault="009D3FCB" w:rsidP="009F5D42">
      <w:pPr>
        <w:jc w:val="both"/>
        <w:rPr>
          <w:rFonts w:cstheme="minorHAnsi"/>
          <w:i/>
          <w:iCs/>
          <w:sz w:val="24"/>
          <w:szCs w:val="24"/>
          <w:lang w:val="it-IT"/>
        </w:rPr>
      </w:pPr>
      <w:r w:rsidRPr="009F5D42">
        <w:rPr>
          <w:sz w:val="24"/>
          <w:szCs w:val="24"/>
          <w:lang w:val="it-IT"/>
        </w:rPr>
        <w:t>Problematica populației vulnerabile este extrem de complexă atât din punct de vedere, social, economic, educațional și al stării de sănătate</w:t>
      </w:r>
      <w:r w:rsidR="009F5D42">
        <w:rPr>
          <w:sz w:val="24"/>
          <w:szCs w:val="24"/>
          <w:lang w:val="it-IT"/>
        </w:rPr>
        <w:t>.</w:t>
      </w:r>
      <w:r w:rsidRPr="009F5D42">
        <w:rPr>
          <w:sz w:val="24"/>
          <w:szCs w:val="24"/>
          <w:lang w:val="it-IT"/>
        </w:rPr>
        <w:t xml:space="preserve"> </w:t>
      </w:r>
      <w:r w:rsidR="009F5D42" w:rsidRPr="009F5D42">
        <w:rPr>
          <w:sz w:val="24"/>
          <w:szCs w:val="24"/>
          <w:lang w:val="it-IT"/>
        </w:rPr>
        <w:t xml:space="preserve"> Lipsa locului de muncă, nivelul educației, venitul,  locuința, accesul la apă de băut, hrană și energie electrică au un impact considerabil asupra sănătății, în timp ce factori precum utilizarea serviciilor medicale au adesea un impact mai mic. Cercetarea </w:t>
      </w:r>
      <w:r w:rsidR="009F5D42" w:rsidRPr="002932F0">
        <w:rPr>
          <w:i/>
          <w:iCs/>
          <w:sz w:val="24"/>
          <w:szCs w:val="24"/>
          <w:lang w:val="it-IT"/>
        </w:rPr>
        <w:t>Evaluare de nevoi şi comportamente la risc pentru sănătate în populația vulnerabilă</w:t>
      </w:r>
      <w:r w:rsidR="009F5D42" w:rsidRPr="009F5D42">
        <w:rPr>
          <w:sz w:val="24"/>
          <w:szCs w:val="24"/>
          <w:lang w:val="it-IT"/>
        </w:rPr>
        <w:t xml:space="preserve">, efectuată in anul 2019 de specialiștii INSP  pe un lot de 1645 de persoane vulnerabile din 28 de județe, arata ca 72 %  dintre femei și 53,5 %  dintre bărbați nu sunt angajaţi în  muncă și  40% dintre familii trăiesc cu mai puţin de 500 lei pe lună.  59% </w:t>
      </w:r>
      <w:r w:rsidR="002932F0">
        <w:rPr>
          <w:sz w:val="24"/>
          <w:szCs w:val="24"/>
          <w:lang w:val="it-IT"/>
        </w:rPr>
        <w:t xml:space="preserve"> dintre persoane </w:t>
      </w:r>
      <w:r w:rsidR="009F5D42" w:rsidRPr="009F5D42">
        <w:rPr>
          <w:sz w:val="24"/>
          <w:szCs w:val="24"/>
          <w:lang w:val="it-IT"/>
        </w:rPr>
        <w:t>îşi declară starea de sănătate ca fiind bună şi foarte bună,  comparativ  cu 70,9% din populaţia generală</w:t>
      </w:r>
      <w:r w:rsidR="002932F0">
        <w:rPr>
          <w:sz w:val="24"/>
          <w:szCs w:val="24"/>
          <w:lang w:val="it-IT"/>
        </w:rPr>
        <w:t>,</w:t>
      </w:r>
      <w:r w:rsidR="009F5D42" w:rsidRPr="009F5D42">
        <w:rPr>
          <w:sz w:val="24"/>
          <w:szCs w:val="24"/>
          <w:lang w:val="it-IT"/>
        </w:rPr>
        <w:t xml:space="preserve"> 31% </w:t>
      </w:r>
      <w:r w:rsidR="002932F0">
        <w:rPr>
          <w:sz w:val="24"/>
          <w:szCs w:val="24"/>
          <w:lang w:val="it-IT"/>
        </w:rPr>
        <w:t xml:space="preserve"> din adulți </w:t>
      </w:r>
      <w:r w:rsidR="009F5D42" w:rsidRPr="009F5D42">
        <w:rPr>
          <w:sz w:val="24"/>
          <w:szCs w:val="24"/>
          <w:lang w:val="it-IT"/>
        </w:rPr>
        <w:t>declară că suferă de o boală cronică comparativ cu 19,5% din populaţia general</w:t>
      </w:r>
      <w:r w:rsidR="009F5D42">
        <w:rPr>
          <w:sz w:val="24"/>
          <w:szCs w:val="24"/>
          <w:lang w:val="it-IT"/>
        </w:rPr>
        <w:t>ă</w:t>
      </w:r>
      <w:r w:rsidR="002932F0">
        <w:rPr>
          <w:sz w:val="24"/>
          <w:szCs w:val="24"/>
          <w:lang w:val="it-IT"/>
        </w:rPr>
        <w:t xml:space="preserve"> și </w:t>
      </w:r>
      <w:r w:rsidR="002932F0" w:rsidRPr="002932F0">
        <w:rPr>
          <w:sz w:val="24"/>
          <w:szCs w:val="24"/>
          <w:lang w:val="it-IT"/>
        </w:rPr>
        <w:t>9% dintre copii au deja au boli cronice.</w:t>
      </w:r>
    </w:p>
    <w:p w:rsidR="0060317E" w:rsidRPr="008658A3" w:rsidRDefault="009F5D42" w:rsidP="00475281">
      <w:pPr>
        <w:spacing w:after="0"/>
        <w:jc w:val="both"/>
        <w:rPr>
          <w:rFonts w:eastAsia="Calibri" w:cstheme="minorHAnsi"/>
          <w:b/>
          <w:sz w:val="24"/>
          <w:szCs w:val="24"/>
          <w:lang w:val="it-IT"/>
        </w:rPr>
      </w:pPr>
      <w:r w:rsidRPr="009F5D42">
        <w:rPr>
          <w:sz w:val="24"/>
          <w:szCs w:val="24"/>
          <w:lang w:val="it-IT"/>
        </w:rPr>
        <w:t xml:space="preserve">Campania este implementată la nivel județean de către Direcția de Sănătate Publică a județului </w:t>
      </w:r>
      <w:r w:rsidR="00165D55">
        <w:rPr>
          <w:sz w:val="24"/>
          <w:szCs w:val="24"/>
          <w:lang w:val="it-IT"/>
        </w:rPr>
        <w:t xml:space="preserve">Sibiu, </w:t>
      </w:r>
      <w:r w:rsidRPr="009F5D42">
        <w:rPr>
          <w:sz w:val="24"/>
          <w:szCs w:val="24"/>
          <w:lang w:val="it-IT"/>
        </w:rPr>
        <w:t xml:space="preserve">iar suportul metodologic al campaniei este asigurat de către Institutul Național de Sănătate Publică. </w:t>
      </w:r>
    </w:p>
    <w:p w:rsidR="0060317E" w:rsidRPr="0060317E" w:rsidRDefault="00FF75CE" w:rsidP="00E92D61">
      <w:pPr>
        <w:tabs>
          <w:tab w:val="left" w:pos="10230"/>
          <w:tab w:val="right" w:pos="10440"/>
        </w:tabs>
        <w:ind w:left="360"/>
        <w:contextualSpacing/>
        <w:jc w:val="both"/>
        <w:rPr>
          <w:rFonts w:eastAsia="Calibri" w:cstheme="minorHAnsi"/>
          <w:b/>
          <w:sz w:val="24"/>
          <w:szCs w:val="24"/>
          <w:lang w:val="it-IT"/>
        </w:rPr>
      </w:pPr>
      <w:r>
        <w:rPr>
          <w:rFonts w:eastAsia="SimSun" w:cstheme="minorHAnsi"/>
          <w:b/>
          <w:noProof/>
          <w:sz w:val="24"/>
          <w:szCs w:val="24"/>
          <w:lang w:val="en-GB" w:eastAsia="en-GB"/>
        </w:rPr>
        <w:pict>
          <v:shapetype id="_x0000_t202" coordsize="21600,21600" o:spt="202" path="m,l,21600r21600,l21600,xe">
            <v:stroke joinstyle="miter"/>
            <v:path gradientshapeok="t" o:connecttype="rect"/>
          </v:shapetype>
          <v:shape id="_x0000_s1027" type="#_x0000_t202" style="position:absolute;left:0;text-align:left;margin-left:377.55pt;margin-top:56.7pt;width:94.8pt;height:19.8pt;z-index:251661312" stroked="f">
            <v:textbox>
              <w:txbxContent>
                <w:p w:rsidR="00FF75CE" w:rsidRDefault="00FF75CE" w:rsidP="00FF75CE">
                  <w:pPr>
                    <w:spacing w:after="0" w:line="240" w:lineRule="auto"/>
                    <w:rPr>
                      <w:rFonts w:ascii="Times New Roman" w:hAnsi="Times New Roman" w:cs="Times New Roman"/>
                      <w:b/>
                      <w:sz w:val="12"/>
                      <w:szCs w:val="12"/>
                      <w:lang w:val="en-GB"/>
                    </w:rPr>
                  </w:pPr>
                  <w:r w:rsidRPr="00FF75CE">
                    <w:rPr>
                      <w:rFonts w:ascii="Times New Roman" w:hAnsi="Times New Roman" w:cs="Times New Roman"/>
                      <w:b/>
                      <w:sz w:val="12"/>
                      <w:szCs w:val="12"/>
                      <w:lang w:val="en-GB"/>
                    </w:rPr>
                    <w:t>DIRECȚIA</w:t>
                  </w:r>
                  <w:r>
                    <w:rPr>
                      <w:rFonts w:ascii="Times New Roman" w:hAnsi="Times New Roman" w:cs="Times New Roman"/>
                      <w:b/>
                      <w:sz w:val="12"/>
                      <w:szCs w:val="12"/>
                      <w:lang w:val="en-GB"/>
                    </w:rPr>
                    <w:t xml:space="preserve"> DE SĂNĂTATE</w:t>
                  </w:r>
                </w:p>
                <w:p w:rsidR="00FF75CE" w:rsidRPr="00FF75CE" w:rsidRDefault="00FF75CE" w:rsidP="00FF75CE">
                  <w:pPr>
                    <w:spacing w:after="0" w:line="240" w:lineRule="auto"/>
                    <w:rPr>
                      <w:rFonts w:ascii="Times New Roman" w:hAnsi="Times New Roman" w:cs="Times New Roman"/>
                      <w:b/>
                      <w:sz w:val="12"/>
                      <w:szCs w:val="12"/>
                      <w:lang w:val="ro-RO"/>
                    </w:rPr>
                  </w:pPr>
                  <w:r>
                    <w:rPr>
                      <w:rFonts w:ascii="Times New Roman" w:hAnsi="Times New Roman" w:cs="Times New Roman"/>
                      <w:b/>
                      <w:sz w:val="12"/>
                      <w:szCs w:val="12"/>
                      <w:lang w:val="en-GB"/>
                    </w:rPr>
                    <w:t xml:space="preserve">           PUBLICĂ SIBIU</w:t>
                  </w:r>
                </w:p>
              </w:txbxContent>
            </v:textbox>
          </v:shape>
        </w:pict>
      </w:r>
      <w:r>
        <w:rPr>
          <w:rFonts w:eastAsia="SimSun" w:cstheme="minorHAnsi"/>
          <w:b/>
          <w:noProof/>
          <w:sz w:val="24"/>
          <w:szCs w:val="24"/>
          <w:lang w:val="en-GB" w:eastAsia="en-GB"/>
        </w:rPr>
        <w:pict>
          <v:rect id="_x0000_s1026" style="position:absolute;left:0;text-align:left;margin-left:402.85pt;margin-top:16.15pt;width:44.1pt;height:40.55pt;z-index:251660288" stroked="f">
            <v:fill r:id="rId6" o:title="sigla sibiu" recolor="t" type="frame"/>
          </v:rect>
        </w:pict>
      </w:r>
      <w:r>
        <w:rPr>
          <w:rFonts w:eastAsia="SimSun" w:cstheme="minorHAnsi"/>
          <w:b/>
          <w:noProof/>
          <w:sz w:val="24"/>
          <w:szCs w:val="24"/>
          <w:lang w:val="en-GB" w:eastAsia="en-GB"/>
        </w:rPr>
        <w:drawing>
          <wp:anchor distT="0" distB="0" distL="114300" distR="114300" simplePos="0" relativeHeight="251659264" behindDoc="1" locked="0" layoutInCell="1" allowOverlap="1">
            <wp:simplePos x="0" y="0"/>
            <wp:positionH relativeFrom="margin">
              <wp:posOffset>183515</wp:posOffset>
            </wp:positionH>
            <wp:positionV relativeFrom="paragraph">
              <wp:posOffset>114300</wp:posOffset>
            </wp:positionV>
            <wp:extent cx="4415155" cy="87566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4415155" cy="875665"/>
                    </a:xfrm>
                    <a:prstGeom prst="rect">
                      <a:avLst/>
                    </a:prstGeom>
                  </pic:spPr>
                </pic:pic>
              </a:graphicData>
            </a:graphic>
          </wp:anchor>
        </w:drawing>
      </w:r>
    </w:p>
    <w:sectPr w:rsidR="0060317E" w:rsidRPr="0060317E" w:rsidSect="00D05497">
      <w:pgSz w:w="11909" w:h="16834" w:code="9"/>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05F86"/>
    <w:multiLevelType w:val="hybridMultilevel"/>
    <w:tmpl w:val="CA7C882C"/>
    <w:lvl w:ilvl="0" w:tplc="807A5DC6">
      <w:start w:val="1"/>
      <w:numFmt w:val="decimal"/>
      <w:lvlText w:val="%1."/>
      <w:lvlJc w:val="left"/>
      <w:pPr>
        <w:tabs>
          <w:tab w:val="num" w:pos="720"/>
        </w:tabs>
        <w:ind w:left="720" w:hanging="360"/>
      </w:pPr>
    </w:lvl>
    <w:lvl w:ilvl="1" w:tplc="D47C44B6" w:tentative="1">
      <w:start w:val="1"/>
      <w:numFmt w:val="decimal"/>
      <w:lvlText w:val="%2."/>
      <w:lvlJc w:val="left"/>
      <w:pPr>
        <w:tabs>
          <w:tab w:val="num" w:pos="1440"/>
        </w:tabs>
        <w:ind w:left="1440" w:hanging="360"/>
      </w:pPr>
    </w:lvl>
    <w:lvl w:ilvl="2" w:tplc="5D40F232" w:tentative="1">
      <w:start w:val="1"/>
      <w:numFmt w:val="decimal"/>
      <w:lvlText w:val="%3."/>
      <w:lvlJc w:val="left"/>
      <w:pPr>
        <w:tabs>
          <w:tab w:val="num" w:pos="2160"/>
        </w:tabs>
        <w:ind w:left="2160" w:hanging="360"/>
      </w:pPr>
    </w:lvl>
    <w:lvl w:ilvl="3" w:tplc="0A6AE146" w:tentative="1">
      <w:start w:val="1"/>
      <w:numFmt w:val="decimal"/>
      <w:lvlText w:val="%4."/>
      <w:lvlJc w:val="left"/>
      <w:pPr>
        <w:tabs>
          <w:tab w:val="num" w:pos="2880"/>
        </w:tabs>
        <w:ind w:left="2880" w:hanging="360"/>
      </w:pPr>
    </w:lvl>
    <w:lvl w:ilvl="4" w:tplc="C052BBF0" w:tentative="1">
      <w:start w:val="1"/>
      <w:numFmt w:val="decimal"/>
      <w:lvlText w:val="%5."/>
      <w:lvlJc w:val="left"/>
      <w:pPr>
        <w:tabs>
          <w:tab w:val="num" w:pos="3600"/>
        </w:tabs>
        <w:ind w:left="3600" w:hanging="360"/>
      </w:pPr>
    </w:lvl>
    <w:lvl w:ilvl="5" w:tplc="97948A7C" w:tentative="1">
      <w:start w:val="1"/>
      <w:numFmt w:val="decimal"/>
      <w:lvlText w:val="%6."/>
      <w:lvlJc w:val="left"/>
      <w:pPr>
        <w:tabs>
          <w:tab w:val="num" w:pos="4320"/>
        </w:tabs>
        <w:ind w:left="4320" w:hanging="360"/>
      </w:pPr>
    </w:lvl>
    <w:lvl w:ilvl="6" w:tplc="41E44E50" w:tentative="1">
      <w:start w:val="1"/>
      <w:numFmt w:val="decimal"/>
      <w:lvlText w:val="%7."/>
      <w:lvlJc w:val="left"/>
      <w:pPr>
        <w:tabs>
          <w:tab w:val="num" w:pos="5040"/>
        </w:tabs>
        <w:ind w:left="5040" w:hanging="360"/>
      </w:pPr>
    </w:lvl>
    <w:lvl w:ilvl="7" w:tplc="C72C887A" w:tentative="1">
      <w:start w:val="1"/>
      <w:numFmt w:val="decimal"/>
      <w:lvlText w:val="%8."/>
      <w:lvlJc w:val="left"/>
      <w:pPr>
        <w:tabs>
          <w:tab w:val="num" w:pos="5760"/>
        </w:tabs>
        <w:ind w:left="5760" w:hanging="360"/>
      </w:pPr>
    </w:lvl>
    <w:lvl w:ilvl="8" w:tplc="5A0CDC64" w:tentative="1">
      <w:start w:val="1"/>
      <w:numFmt w:val="decimal"/>
      <w:lvlText w:val="%9."/>
      <w:lvlJc w:val="left"/>
      <w:pPr>
        <w:tabs>
          <w:tab w:val="num" w:pos="6480"/>
        </w:tabs>
        <w:ind w:left="6480" w:hanging="360"/>
      </w:pPr>
    </w:lvl>
  </w:abstractNum>
  <w:abstractNum w:abstractNumId="1">
    <w:nsid w:val="337C637E"/>
    <w:multiLevelType w:val="hybridMultilevel"/>
    <w:tmpl w:val="6C6039E0"/>
    <w:lvl w:ilvl="0" w:tplc="04180001">
      <w:start w:val="1"/>
      <w:numFmt w:val="bullet"/>
      <w:lvlText w:val=""/>
      <w:lvlJc w:val="left"/>
      <w:pPr>
        <w:ind w:left="1800" w:hanging="360"/>
      </w:pPr>
      <w:rPr>
        <w:rFonts w:ascii="Symbol" w:hAnsi="Symbol" w:hint="default"/>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
    <w:nsid w:val="68FB3C47"/>
    <w:multiLevelType w:val="hybridMultilevel"/>
    <w:tmpl w:val="2864E3E8"/>
    <w:lvl w:ilvl="0" w:tplc="654CB3E8">
      <w:start w:val="1"/>
      <w:numFmt w:val="decimal"/>
      <w:lvlText w:val="%1."/>
      <w:lvlJc w:val="left"/>
      <w:pPr>
        <w:ind w:left="720" w:hanging="360"/>
      </w:pPr>
      <w:rPr>
        <w:rFonts w:asciiTheme="minorHAnsi" w:hAnsiTheme="minorHAnsi" w:cstheme="minorHAnsi" w:hint="default"/>
        <w:b w:val="0"/>
        <w:color w:val="7030A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E92D61"/>
    <w:rsid w:val="000561EF"/>
    <w:rsid w:val="000D37D0"/>
    <w:rsid w:val="00165D55"/>
    <w:rsid w:val="002932F0"/>
    <w:rsid w:val="003F6981"/>
    <w:rsid w:val="00451162"/>
    <w:rsid w:val="00475281"/>
    <w:rsid w:val="005A33F1"/>
    <w:rsid w:val="0060317E"/>
    <w:rsid w:val="00697BFB"/>
    <w:rsid w:val="00712568"/>
    <w:rsid w:val="00714F19"/>
    <w:rsid w:val="00781FE0"/>
    <w:rsid w:val="008658A3"/>
    <w:rsid w:val="00883D3F"/>
    <w:rsid w:val="009D3FCB"/>
    <w:rsid w:val="009F5D42"/>
    <w:rsid w:val="00A07660"/>
    <w:rsid w:val="00B5018B"/>
    <w:rsid w:val="00C66D72"/>
    <w:rsid w:val="00DA52F6"/>
    <w:rsid w:val="00DA5D86"/>
    <w:rsid w:val="00E92D61"/>
    <w:rsid w:val="00ED25C2"/>
    <w:rsid w:val="00FF75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D61"/>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D4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INSP100</dc:creator>
  <cp:keywords/>
  <dc:description/>
  <cp:lastModifiedBy>maria.chioran</cp:lastModifiedBy>
  <cp:revision>6</cp:revision>
  <dcterms:created xsi:type="dcterms:W3CDTF">2021-03-31T05:24:00Z</dcterms:created>
  <dcterms:modified xsi:type="dcterms:W3CDTF">2021-04-02T05:33:00Z</dcterms:modified>
</cp:coreProperties>
</file>