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539A" w14:textId="34F3355D" w:rsidR="00D31B9F" w:rsidRDefault="00D16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054D0">
        <w:rPr>
          <w:rFonts w:ascii="Times New Roman" w:hAnsi="Times New Roman" w:cs="Times New Roman"/>
        </w:rPr>
        <w:t xml:space="preserve">                          </w:t>
      </w:r>
      <w:r w:rsidRPr="00D16D6D">
        <w:rPr>
          <w:rFonts w:ascii="Times New Roman" w:hAnsi="Times New Roman" w:cs="Times New Roman"/>
        </w:rPr>
        <w:t>Nr. SB-14783/19.11.2025</w:t>
      </w:r>
    </w:p>
    <w:p w14:paraId="185E6933" w14:textId="713E6D82" w:rsidR="00917304" w:rsidRPr="007F1EE8" w:rsidRDefault="00917304" w:rsidP="007F1EE8">
      <w:pPr>
        <w:jc w:val="center"/>
        <w:rPr>
          <w:rFonts w:ascii="Times New Roman" w:hAnsi="Times New Roman" w:cs="Times New Roman"/>
          <w:b/>
          <w:bCs/>
        </w:rPr>
      </w:pPr>
      <w:r w:rsidRPr="007F1EE8">
        <w:rPr>
          <w:rFonts w:ascii="Times New Roman" w:hAnsi="Times New Roman" w:cs="Times New Roman"/>
          <w:b/>
          <w:bCs/>
        </w:rPr>
        <w:t>Situație infecții respiratorii, pneumopatii și gripă, săptămâna 4</w:t>
      </w:r>
      <w:r w:rsidRPr="007F1EE8">
        <w:rPr>
          <w:rFonts w:ascii="Times New Roman" w:hAnsi="Times New Roman" w:cs="Times New Roman"/>
          <w:b/>
          <w:bCs/>
        </w:rPr>
        <w:t>6</w:t>
      </w:r>
      <w:r w:rsidRPr="007F1EE8">
        <w:rPr>
          <w:rFonts w:ascii="Times New Roman" w:hAnsi="Times New Roman" w:cs="Times New Roman"/>
          <w:b/>
          <w:bCs/>
        </w:rPr>
        <w:t xml:space="preserve"> (</w:t>
      </w:r>
      <w:r w:rsidR="009F5C8E" w:rsidRPr="007F1EE8">
        <w:rPr>
          <w:rFonts w:ascii="Times New Roman" w:hAnsi="Times New Roman" w:cs="Times New Roman"/>
          <w:b/>
          <w:bCs/>
        </w:rPr>
        <w:t>10-16</w:t>
      </w:r>
      <w:r w:rsidRPr="007F1EE8">
        <w:rPr>
          <w:rFonts w:ascii="Times New Roman" w:hAnsi="Times New Roman" w:cs="Times New Roman"/>
          <w:b/>
          <w:bCs/>
        </w:rPr>
        <w:t>.11.2025)</w:t>
      </w:r>
    </w:p>
    <w:p w14:paraId="6FE6FEE7" w14:textId="1BEA8AD0" w:rsidR="0062737B" w:rsidRPr="007F1EE8" w:rsidRDefault="00484D3E" w:rsidP="007F1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A70D8" w:rsidRPr="007F1EE8">
        <w:rPr>
          <w:rFonts w:ascii="Times New Roman" w:hAnsi="Times New Roman" w:cs="Times New Roman"/>
        </w:rPr>
        <w:t>În cea de-a șaptea săptămână de monitorizare a activității virale s-au raportat la nivelul județului Sibiu un număr de 4 cazuri de gripă clinică, 1217 cazuri de infecții acute ale căilor respiratorii superioare și 373 de pneumopatii. Numărul îmbolnăvirilor este în ușoară scădere, comparativ cu săptămâna trecută.</w:t>
      </w:r>
    </w:p>
    <w:p w14:paraId="501AD961" w14:textId="12092859" w:rsidR="002A70D8" w:rsidRPr="007F1EE8" w:rsidRDefault="00484D3E" w:rsidP="007F1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B7CD5" w:rsidRPr="007F1EE8">
        <w:rPr>
          <w:rFonts w:ascii="Times New Roman" w:hAnsi="Times New Roman" w:cs="Times New Roman"/>
        </w:rPr>
        <w:t xml:space="preserve">În ceea ce privește activitatea gripală, în perioada 10-16 noiembrie 2025, au fost raportate de către medicii de familie un număr de 4 cazuri de gripă clinică, dintre care unul a necesitat internare, fiind vorba despre un copilaș cu vârstă de până într-un an. </w:t>
      </w:r>
    </w:p>
    <w:p w14:paraId="117CE907" w14:textId="4934F58A" w:rsidR="005B7CD5" w:rsidRPr="007F1EE8" w:rsidRDefault="00484D3E" w:rsidP="007F1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30EF" w:rsidRPr="007F1EE8">
        <w:rPr>
          <w:rFonts w:ascii="Times New Roman" w:hAnsi="Times New Roman" w:cs="Times New Roman"/>
        </w:rPr>
        <w:t>Numărul infecțiilor respiratorii acute a fost în ușoară scădere, la fel și cel al internărilor. Cea mai afectată categorie de vârstă a fost cea a copiilor cu vârste cuprinse între 5 și 14 ani, unde s-au înregistrat practic mai bine de 40% din totalul îmbolnăvirilor. Din fericire, formele de boală au fost ușoare, internarea fiind necesară în doae 21 de cazuri dintre care 13 au fost la bebeluși (grupa 0-1 ani).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B5558C" w:rsidRPr="009053C2" w14:paraId="3EB76509" w14:textId="77777777" w:rsidTr="00867A90">
        <w:tc>
          <w:tcPr>
            <w:tcW w:w="1511" w:type="dxa"/>
          </w:tcPr>
          <w:p w14:paraId="2B0DE52C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4F1D8B12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3B6D1352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628B0C33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0B5FF173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7ABE71FC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7727CD00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4CF06DF6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B5558C" w:rsidRPr="009053C2" w14:paraId="0397DA18" w14:textId="77777777" w:rsidTr="00867A90">
        <w:tc>
          <w:tcPr>
            <w:tcW w:w="1511" w:type="dxa"/>
          </w:tcPr>
          <w:p w14:paraId="1CABEEFA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0AFBA518" w14:textId="4EBDA6E9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4" w:type="dxa"/>
          </w:tcPr>
          <w:p w14:paraId="72F94D00" w14:textId="3981C286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4" w:type="dxa"/>
          </w:tcPr>
          <w:p w14:paraId="610BFD8C" w14:textId="42EB8FA3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84" w:type="dxa"/>
          </w:tcPr>
          <w:p w14:paraId="240ACA23" w14:textId="6730A35E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84" w:type="dxa"/>
          </w:tcPr>
          <w:p w14:paraId="4CF9783B" w14:textId="3F3EDC43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54" w:type="dxa"/>
          </w:tcPr>
          <w:p w14:paraId="19864F45" w14:textId="545B8134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09BC9C1" w14:textId="0D0CC971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558C">
              <w:rPr>
                <w:rFonts w:ascii="Times New Roman" w:hAnsi="Times New Roman" w:cs="Times New Roman"/>
              </w:rPr>
              <w:t>5</w:t>
            </w:r>
          </w:p>
        </w:tc>
      </w:tr>
      <w:tr w:rsidR="00B5558C" w:rsidRPr="009053C2" w14:paraId="6223A8E9" w14:textId="77777777" w:rsidTr="00867A90">
        <w:tc>
          <w:tcPr>
            <w:tcW w:w="1511" w:type="dxa"/>
          </w:tcPr>
          <w:p w14:paraId="73966A30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6C74985D" w14:textId="5409D7B1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4" w:type="dxa"/>
          </w:tcPr>
          <w:p w14:paraId="50061B66" w14:textId="0B8C1C39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14:paraId="1555FC63" w14:textId="61F241B2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14:paraId="1EC01DC3" w14:textId="7E3EA69B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4B42735E" w14:textId="0D1A455A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4F50B976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6E7B550" w14:textId="0142F903" w:rsidR="00B5558C" w:rsidRPr="009053C2" w:rsidRDefault="00EB7F75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58C" w:rsidRPr="009053C2" w14:paraId="6AC3F862" w14:textId="77777777" w:rsidTr="00867A90">
        <w:tc>
          <w:tcPr>
            <w:tcW w:w="1511" w:type="dxa"/>
          </w:tcPr>
          <w:p w14:paraId="0D13CD3C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4BB5416D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39BC925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A803C0E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748C8D9F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F21F0DE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42241E6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146F8D0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B5558C" w:rsidRPr="009053C2" w14:paraId="4D3F557A" w14:textId="77777777" w:rsidTr="00867A90">
        <w:tc>
          <w:tcPr>
            <w:tcW w:w="1511" w:type="dxa"/>
          </w:tcPr>
          <w:p w14:paraId="7B1CC9F9" w14:textId="777777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1A7D57C3" w14:textId="455B5877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559C8285" w14:textId="790D938F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7048085F" w14:textId="692B8A25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6,59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16761F79" w14:textId="1AD13A5C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41,90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4CA21B48" w14:textId="2A02B919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20,13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01FD6716" w14:textId="3F01820E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716866DE" w14:textId="3C03A2A4" w:rsidR="00B5558C" w:rsidRPr="009053C2" w:rsidRDefault="00B5558C" w:rsidP="0086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  <w:r>
              <w:rPr>
                <w:rFonts w:ascii="Times New Roman" w:hAnsi="Times New Roman" w:cs="Times New Roman"/>
              </w:rPr>
              <w:t>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79969754" w14:textId="699C30F9" w:rsidR="0052566B" w:rsidRPr="00C13555" w:rsidRDefault="00484D3E" w:rsidP="00C13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2566B" w:rsidRPr="00C13555">
        <w:rPr>
          <w:rFonts w:ascii="Times New Roman" w:hAnsi="Times New Roman" w:cs="Times New Roman"/>
        </w:rPr>
        <w:t>Numărul pneumopatiilor este</w:t>
      </w:r>
      <w:r w:rsidR="007F0C53">
        <w:rPr>
          <w:rFonts w:ascii="Times New Roman" w:hAnsi="Times New Roman" w:cs="Times New Roman"/>
        </w:rPr>
        <w:t xml:space="preserve"> </w:t>
      </w:r>
      <w:r w:rsidR="0052566B" w:rsidRPr="00C13555">
        <w:rPr>
          <w:rFonts w:ascii="Times New Roman" w:hAnsi="Times New Roman" w:cs="Times New Roman"/>
        </w:rPr>
        <w:t>ridicat</w:t>
      </w:r>
      <w:r w:rsidR="007F0C53">
        <w:rPr>
          <w:rFonts w:ascii="Times New Roman" w:hAnsi="Times New Roman" w:cs="Times New Roman"/>
        </w:rPr>
        <w:t>,</w:t>
      </w:r>
      <w:r w:rsidR="0052566B" w:rsidRPr="00C13555">
        <w:rPr>
          <w:rFonts w:ascii="Times New Roman" w:hAnsi="Times New Roman" w:cs="Times New Roman"/>
        </w:rPr>
        <w:t xml:space="preserve"> dar constant. </w:t>
      </w:r>
      <w:r w:rsidR="007D5D5A">
        <w:rPr>
          <w:rFonts w:ascii="Times New Roman" w:hAnsi="Times New Roman" w:cs="Times New Roman"/>
        </w:rPr>
        <w:t>Ponderea internărilor răm</w:t>
      </w:r>
      <w:r w:rsidR="00DB77F7">
        <w:rPr>
          <w:rFonts w:ascii="Times New Roman" w:hAnsi="Times New Roman" w:cs="Times New Roman"/>
        </w:rPr>
        <w:t xml:space="preserve">âne </w:t>
      </w:r>
      <w:r w:rsidR="003B7E43">
        <w:rPr>
          <w:rFonts w:ascii="Times New Roman" w:hAnsi="Times New Roman" w:cs="Times New Roman"/>
        </w:rPr>
        <w:t>crescută</w:t>
      </w:r>
      <w:r w:rsidR="00DB77F7">
        <w:rPr>
          <w:rFonts w:ascii="Times New Roman" w:hAnsi="Times New Roman" w:cs="Times New Roman"/>
        </w:rPr>
        <w:t xml:space="preserve">, </w:t>
      </w:r>
      <w:r w:rsidR="003B7E43">
        <w:rPr>
          <w:rFonts w:ascii="Times New Roman" w:hAnsi="Times New Roman" w:cs="Times New Roman"/>
        </w:rPr>
        <w:t>b</w:t>
      </w:r>
      <w:r w:rsidR="0052566B" w:rsidRPr="00C13555">
        <w:rPr>
          <w:rFonts w:ascii="Times New Roman" w:hAnsi="Times New Roman" w:cs="Times New Roman"/>
        </w:rPr>
        <w:t xml:space="preserve">oala afectează în special persoanele trecute de prima tinerețe însă, cumulată cu alte afecțiuni cronice poate pune probleme serioase de sănătate chiar și la vârste mai mici. </w:t>
      </w:r>
      <w:r w:rsidR="007F0C53">
        <w:rPr>
          <w:rFonts w:ascii="Times New Roman" w:hAnsi="Times New Roman" w:cs="Times New Roman"/>
        </w:rPr>
        <w:t>A fost raportat statistic un deces de pneumopatie, la o persoană încadrată în categoria de vârstă15-49 de ani.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57"/>
        <w:gridCol w:w="1003"/>
        <w:gridCol w:w="1083"/>
        <w:gridCol w:w="1083"/>
        <w:gridCol w:w="1083"/>
        <w:gridCol w:w="1056"/>
        <w:gridCol w:w="1056"/>
      </w:tblGrid>
      <w:tr w:rsidR="0067433D" w:rsidRPr="009053C2" w14:paraId="2A299A1D" w14:textId="77777777" w:rsidTr="00867A90">
        <w:tc>
          <w:tcPr>
            <w:tcW w:w="1795" w:type="dxa"/>
          </w:tcPr>
          <w:p w14:paraId="1CFF72E4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0EE74BE7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5A57A3CD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6F33C2DE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2FC79EDC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18261A18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08C3B8BA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57927F47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67433D" w:rsidRPr="009053C2" w14:paraId="3E95766B" w14:textId="77777777" w:rsidTr="00867A90">
        <w:tc>
          <w:tcPr>
            <w:tcW w:w="1795" w:type="dxa"/>
          </w:tcPr>
          <w:p w14:paraId="190A23C7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350B4995" w14:textId="410F73ED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03" w:type="dxa"/>
          </w:tcPr>
          <w:p w14:paraId="0D12AD21" w14:textId="76501CDD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6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</w:tcPr>
          <w:p w14:paraId="20886FDB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3" w:type="dxa"/>
          </w:tcPr>
          <w:p w14:paraId="2D37E61F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3" w:type="dxa"/>
          </w:tcPr>
          <w:p w14:paraId="54840AA1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56" w:type="dxa"/>
          </w:tcPr>
          <w:p w14:paraId="68989462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56" w:type="dxa"/>
          </w:tcPr>
          <w:p w14:paraId="408161E5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67433D" w:rsidRPr="009053C2" w14:paraId="1E083BDD" w14:textId="77777777" w:rsidTr="00867A90">
        <w:tc>
          <w:tcPr>
            <w:tcW w:w="1795" w:type="dxa"/>
          </w:tcPr>
          <w:p w14:paraId="06ECB3C0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41B88E2A" w14:textId="5303C8A3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3" w:type="dxa"/>
          </w:tcPr>
          <w:p w14:paraId="6032AAB0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12CAFC14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</w:tcPr>
          <w:p w14:paraId="10355273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</w:tcPr>
          <w:p w14:paraId="68A8CEAE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6" w:type="dxa"/>
          </w:tcPr>
          <w:p w14:paraId="2F0DDF4D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56" w:type="dxa"/>
          </w:tcPr>
          <w:p w14:paraId="423C4AA4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67433D" w:rsidRPr="009053C2" w14:paraId="4D7C6EBF" w14:textId="77777777" w:rsidTr="00867A90">
        <w:tc>
          <w:tcPr>
            <w:tcW w:w="1795" w:type="dxa"/>
          </w:tcPr>
          <w:p w14:paraId="3CED4F4C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7707F16B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14:paraId="06C59BC6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65F59ED1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ADAB85B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53DF3B45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35F1B975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15648CDB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433D" w:rsidRPr="009053C2" w14:paraId="72B93911" w14:textId="77777777" w:rsidTr="00867A90">
        <w:tc>
          <w:tcPr>
            <w:tcW w:w="1795" w:type="dxa"/>
          </w:tcPr>
          <w:p w14:paraId="39B17047" w14:textId="77777777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672D13EE" w14:textId="1E5A4978" w:rsidR="00E870CD" w:rsidRPr="009053C2" w:rsidRDefault="00E870C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3" w:type="dxa"/>
          </w:tcPr>
          <w:p w14:paraId="47627DE2" w14:textId="0B32D71C" w:rsidR="00E870CD" w:rsidRPr="009053C2" w:rsidRDefault="002A566F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28841A93" w14:textId="2FE9A699" w:rsidR="00E870CD" w:rsidRPr="009053C2" w:rsidRDefault="002A566F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870CD">
              <w:rPr>
                <w:rFonts w:ascii="Times New Roman" w:hAnsi="Times New Roman" w:cs="Times New Roman"/>
              </w:rPr>
              <w:t>,23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6EFC3A36" w14:textId="3A84A8B2" w:rsidR="00E870CD" w:rsidRPr="009053C2" w:rsidRDefault="002A566F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70CD">
              <w:rPr>
                <w:rFonts w:ascii="Times New Roman" w:hAnsi="Times New Roman" w:cs="Times New Roman"/>
              </w:rPr>
              <w:t>7,1</w:t>
            </w:r>
            <w:r>
              <w:rPr>
                <w:rFonts w:ascii="Times New Roman" w:hAnsi="Times New Roman" w:cs="Times New Roman"/>
              </w:rPr>
              <w:t>5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5D522E63" w14:textId="33A2B977" w:rsidR="00E870CD" w:rsidRPr="009053C2" w:rsidRDefault="002A566F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870CD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4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34CA8713" w14:textId="70346B30" w:rsidR="00E870CD" w:rsidRPr="009053C2" w:rsidRDefault="00C84874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30,02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58ACA816" w14:textId="4A1216E1" w:rsidR="00E870CD" w:rsidRPr="009053C2" w:rsidRDefault="0067433D" w:rsidP="0086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24,93</w:t>
            </w:r>
            <w:r w:rsidR="00E870CD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43ED0864" w14:textId="5D8A5075" w:rsidR="006030EF" w:rsidRDefault="00484D3E" w:rsidP="00C13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20A92" w:rsidRPr="00C13555">
        <w:rPr>
          <w:rFonts w:ascii="Times New Roman" w:hAnsi="Times New Roman" w:cs="Times New Roman"/>
        </w:rPr>
        <w:t xml:space="preserve">Campania de vaccinare antigripală continuă, până la acest moment au fost imunizate împotriva gripei sezoniere un număr de 23.221 de sibieni. </w:t>
      </w:r>
    </w:p>
    <w:p w14:paraId="166534FE" w14:textId="77777777" w:rsidR="00D355C4" w:rsidRDefault="00D355C4" w:rsidP="00C13555">
      <w:pPr>
        <w:jc w:val="both"/>
        <w:rPr>
          <w:rFonts w:ascii="Times New Roman" w:hAnsi="Times New Roman" w:cs="Times New Roman"/>
        </w:rPr>
      </w:pPr>
    </w:p>
    <w:p w14:paraId="1AA1DAB8" w14:textId="77777777" w:rsidR="00D355C4" w:rsidRPr="00F02A31" w:rsidRDefault="00D355C4" w:rsidP="00D355C4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Director executiv,</w:t>
      </w:r>
    </w:p>
    <w:p w14:paraId="4E5083DC" w14:textId="77777777" w:rsidR="00D355C4" w:rsidRPr="00F02A31" w:rsidRDefault="00D355C4" w:rsidP="00D355C4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01DF5F8D" w14:textId="77777777" w:rsidR="00D355C4" w:rsidRDefault="00D355C4" w:rsidP="00D355C4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161426B" w14:textId="77777777" w:rsidR="00D355C4" w:rsidRDefault="00D355C4" w:rsidP="00D355C4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B3DE46E" w14:textId="77777777" w:rsidR="00D355C4" w:rsidRPr="00977E78" w:rsidRDefault="00D355C4" w:rsidP="00D355C4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Întocmit:</w:t>
      </w:r>
    </w:p>
    <w:p w14:paraId="50712D8C" w14:textId="77777777" w:rsidR="00D355C4" w:rsidRPr="005F1E97" w:rsidRDefault="00D355C4" w:rsidP="00D355C4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Cons. princip. Ungureanu Denisa</w:t>
      </w:r>
    </w:p>
    <w:p w14:paraId="0D5671EA" w14:textId="77777777" w:rsidR="00D355C4" w:rsidRPr="00C13555" w:rsidRDefault="00D355C4" w:rsidP="00C13555">
      <w:pPr>
        <w:jc w:val="both"/>
        <w:rPr>
          <w:rFonts w:ascii="Times New Roman" w:hAnsi="Times New Roman" w:cs="Times New Roman"/>
        </w:rPr>
      </w:pPr>
    </w:p>
    <w:sectPr w:rsidR="00D355C4" w:rsidRPr="00C13555" w:rsidSect="00D355C4">
      <w:headerReference w:type="default" r:id="rId6"/>
      <w:pgSz w:w="11906" w:h="16838"/>
      <w:pgMar w:top="1440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87DC" w14:textId="77777777" w:rsidR="009E5A70" w:rsidRDefault="009E5A70" w:rsidP="00AD7BF3">
      <w:pPr>
        <w:spacing w:after="0" w:line="240" w:lineRule="auto"/>
      </w:pPr>
      <w:r>
        <w:separator/>
      </w:r>
    </w:p>
  </w:endnote>
  <w:endnote w:type="continuationSeparator" w:id="0">
    <w:p w14:paraId="11AF4330" w14:textId="77777777" w:rsidR="009E5A70" w:rsidRDefault="009E5A70" w:rsidP="00AD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FA24" w14:textId="77777777" w:rsidR="009E5A70" w:rsidRDefault="009E5A70" w:rsidP="00AD7BF3">
      <w:pPr>
        <w:spacing w:after="0" w:line="240" w:lineRule="auto"/>
      </w:pPr>
      <w:r>
        <w:separator/>
      </w:r>
    </w:p>
  </w:footnote>
  <w:footnote w:type="continuationSeparator" w:id="0">
    <w:p w14:paraId="209B7070" w14:textId="77777777" w:rsidR="009E5A70" w:rsidRDefault="009E5A70" w:rsidP="00AD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B555" w14:textId="77777777" w:rsidR="00AD7BF3" w:rsidRDefault="00AD7BF3" w:rsidP="00AD7BF3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30B5B" wp14:editId="156ACFD4">
          <wp:simplePos x="0" y="0"/>
          <wp:positionH relativeFrom="column">
            <wp:posOffset>-22225</wp:posOffset>
          </wp:positionH>
          <wp:positionV relativeFrom="paragraph">
            <wp:posOffset>89535</wp:posOffset>
          </wp:positionV>
          <wp:extent cx="990600" cy="952500"/>
          <wp:effectExtent l="0" t="0" r="0" b="0"/>
          <wp:wrapSquare wrapText="right"/>
          <wp:docPr id="102941729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3CCA6D39" w14:textId="77777777" w:rsidR="00AD7BF3" w:rsidRDefault="00AD7BF3" w:rsidP="00AD7BF3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3CCCFA8D" w14:textId="77777777" w:rsidR="00AD7BF3" w:rsidRDefault="00AD7BF3" w:rsidP="00AD7BF3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Bariţiu, nr. 3 cod 550178  Tel.: 0269 - 210071 / 211566  </w:t>
    </w:r>
  </w:p>
  <w:p w14:paraId="1EB4BAB5" w14:textId="77777777" w:rsidR="00AD7BF3" w:rsidRDefault="00AD7BF3" w:rsidP="00AD7BF3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166B702C" w14:textId="77777777" w:rsidR="00AD7BF3" w:rsidRDefault="00AD7BF3" w:rsidP="00AD7BF3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32BB073A" w14:textId="77777777" w:rsidR="00AD7BF3" w:rsidRDefault="00AD7BF3" w:rsidP="00AD7BF3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4C10FB3C" w14:textId="77777777" w:rsidR="00AD7BF3" w:rsidRDefault="00AD7BF3" w:rsidP="00AD7BF3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664FCCAC" w14:textId="77777777" w:rsidR="00AD7BF3" w:rsidRDefault="00AD7BF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3A"/>
    <w:rsid w:val="00020A92"/>
    <w:rsid w:val="000C00E7"/>
    <w:rsid w:val="002A566F"/>
    <w:rsid w:val="002A70D8"/>
    <w:rsid w:val="003054D0"/>
    <w:rsid w:val="00380500"/>
    <w:rsid w:val="003B7E43"/>
    <w:rsid w:val="00484D3E"/>
    <w:rsid w:val="0052566B"/>
    <w:rsid w:val="005B7CD5"/>
    <w:rsid w:val="006030EF"/>
    <w:rsid w:val="0062737B"/>
    <w:rsid w:val="0067433D"/>
    <w:rsid w:val="007D5D5A"/>
    <w:rsid w:val="007F0C53"/>
    <w:rsid w:val="007F1EE8"/>
    <w:rsid w:val="008D019C"/>
    <w:rsid w:val="00917304"/>
    <w:rsid w:val="009E5A70"/>
    <w:rsid w:val="009F5C8E"/>
    <w:rsid w:val="00AD7BF3"/>
    <w:rsid w:val="00AE4C3A"/>
    <w:rsid w:val="00B5558C"/>
    <w:rsid w:val="00BA7C50"/>
    <w:rsid w:val="00C13555"/>
    <w:rsid w:val="00C84874"/>
    <w:rsid w:val="00CB157C"/>
    <w:rsid w:val="00D16D6D"/>
    <w:rsid w:val="00D31B9F"/>
    <w:rsid w:val="00D355C4"/>
    <w:rsid w:val="00DB77F7"/>
    <w:rsid w:val="00E1641B"/>
    <w:rsid w:val="00E870CD"/>
    <w:rsid w:val="00E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D04ED"/>
  <w15:chartTrackingRefBased/>
  <w15:docId w15:val="{AB2F0555-74F2-4FAD-87CF-35317DA8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E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E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E4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4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E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E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E4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E4C3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4C3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E4C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E4C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E4C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E4C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E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E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E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E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E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E4C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E4C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E4C3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E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E4C3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E4C3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D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7BF3"/>
  </w:style>
  <w:style w:type="paragraph" w:styleId="Subsol">
    <w:name w:val="footer"/>
    <w:basedOn w:val="Normal"/>
    <w:link w:val="SubsolCaracter"/>
    <w:uiPriority w:val="99"/>
    <w:unhideWhenUsed/>
    <w:rsid w:val="00AD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7BF3"/>
  </w:style>
  <w:style w:type="character" w:styleId="Hyperlink">
    <w:name w:val="Hyperlink"/>
    <w:basedOn w:val="Fontdeparagrafimplicit"/>
    <w:uiPriority w:val="99"/>
    <w:unhideWhenUsed/>
    <w:rsid w:val="00AD7BF3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5B7CD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B7CD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B7CD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B7CD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B7CD5"/>
    <w:rPr>
      <w:b/>
      <w:bCs/>
      <w:sz w:val="20"/>
      <w:szCs w:val="20"/>
    </w:rPr>
  </w:style>
  <w:style w:type="table" w:styleId="Tabelgril">
    <w:name w:val="Table Grid"/>
    <w:basedOn w:val="TabelNormal"/>
    <w:uiPriority w:val="39"/>
    <w:rsid w:val="00B5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2025-11-19T08:39:00Z</dcterms:created>
  <dcterms:modified xsi:type="dcterms:W3CDTF">2025-11-19T11:34:00Z</dcterms:modified>
</cp:coreProperties>
</file>