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B88B" w14:textId="1B4CCDDE" w:rsidR="00D31B9F" w:rsidRPr="00B90EA1" w:rsidRDefault="0093689D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</w:t>
      </w:r>
      <w:r w:rsidR="00B90EA1">
        <w:t xml:space="preserve">                       </w:t>
      </w:r>
      <w:r>
        <w:t xml:space="preserve">  </w:t>
      </w:r>
      <w:r w:rsidRPr="00B90EA1">
        <w:rPr>
          <w:rFonts w:ascii="Times New Roman" w:hAnsi="Times New Roman" w:cs="Times New Roman"/>
        </w:rPr>
        <w:t>Nr.SB-</w:t>
      </w:r>
      <w:r w:rsidR="00B90EA1" w:rsidRPr="00B90EA1">
        <w:rPr>
          <w:rFonts w:ascii="Times New Roman" w:hAnsi="Times New Roman" w:cs="Times New Roman"/>
        </w:rPr>
        <w:t>15064/26.11.2025</w:t>
      </w:r>
    </w:p>
    <w:p w14:paraId="6BB7FDD1" w14:textId="3ACB5D14" w:rsidR="00A33DCD" w:rsidRDefault="00A33DCD" w:rsidP="00DE0142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7F1EE8">
        <w:rPr>
          <w:rFonts w:ascii="Times New Roman" w:hAnsi="Times New Roman" w:cs="Times New Roman"/>
          <w:b/>
          <w:bCs/>
        </w:rPr>
        <w:t>Situație</w:t>
      </w:r>
      <w:proofErr w:type="spellEnd"/>
      <w:r w:rsidRPr="007F1E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1EE8">
        <w:rPr>
          <w:rFonts w:ascii="Times New Roman" w:hAnsi="Times New Roman" w:cs="Times New Roman"/>
          <w:b/>
          <w:bCs/>
        </w:rPr>
        <w:t>infecții</w:t>
      </w:r>
      <w:proofErr w:type="spellEnd"/>
      <w:r w:rsidRPr="007F1E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1EE8">
        <w:rPr>
          <w:rFonts w:ascii="Times New Roman" w:hAnsi="Times New Roman" w:cs="Times New Roman"/>
          <w:b/>
          <w:bCs/>
        </w:rPr>
        <w:t>respiratorii</w:t>
      </w:r>
      <w:proofErr w:type="spellEnd"/>
      <w:r w:rsidRPr="007F1EE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7F1EE8">
        <w:rPr>
          <w:rFonts w:ascii="Times New Roman" w:hAnsi="Times New Roman" w:cs="Times New Roman"/>
          <w:b/>
          <w:bCs/>
        </w:rPr>
        <w:t>pneumopatii</w:t>
      </w:r>
      <w:proofErr w:type="spellEnd"/>
      <w:r w:rsidRPr="007F1E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1EE8">
        <w:rPr>
          <w:rFonts w:ascii="Times New Roman" w:hAnsi="Times New Roman" w:cs="Times New Roman"/>
          <w:b/>
          <w:bCs/>
        </w:rPr>
        <w:t>și</w:t>
      </w:r>
      <w:proofErr w:type="spellEnd"/>
      <w:r w:rsidRPr="007F1E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1EE8">
        <w:rPr>
          <w:rFonts w:ascii="Times New Roman" w:hAnsi="Times New Roman" w:cs="Times New Roman"/>
          <w:b/>
          <w:bCs/>
        </w:rPr>
        <w:t>gripă</w:t>
      </w:r>
      <w:proofErr w:type="spellEnd"/>
      <w:r w:rsidRPr="007F1EE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7F1EE8">
        <w:rPr>
          <w:rFonts w:ascii="Times New Roman" w:hAnsi="Times New Roman" w:cs="Times New Roman"/>
          <w:b/>
          <w:bCs/>
        </w:rPr>
        <w:t>săptămâna</w:t>
      </w:r>
      <w:proofErr w:type="spellEnd"/>
      <w:r w:rsidRPr="007F1EE8">
        <w:rPr>
          <w:rFonts w:ascii="Times New Roman" w:hAnsi="Times New Roman" w:cs="Times New Roman"/>
          <w:b/>
          <w:bCs/>
        </w:rPr>
        <w:t xml:space="preserve"> 4</w:t>
      </w:r>
      <w:r>
        <w:rPr>
          <w:rFonts w:ascii="Times New Roman" w:hAnsi="Times New Roman" w:cs="Times New Roman"/>
          <w:b/>
          <w:bCs/>
        </w:rPr>
        <w:t>7</w:t>
      </w:r>
      <w:r w:rsidRPr="007F1EE8">
        <w:rPr>
          <w:rFonts w:ascii="Times New Roman" w:hAnsi="Times New Roman" w:cs="Times New Roman"/>
          <w:b/>
          <w:bCs/>
        </w:rPr>
        <w:t xml:space="preserve"> (</w:t>
      </w:r>
      <w:r w:rsidR="002975EA">
        <w:rPr>
          <w:rFonts w:ascii="Times New Roman" w:hAnsi="Times New Roman" w:cs="Times New Roman"/>
          <w:b/>
          <w:bCs/>
        </w:rPr>
        <w:t>17-23</w:t>
      </w:r>
      <w:r w:rsidRPr="007F1EE8">
        <w:rPr>
          <w:rFonts w:ascii="Times New Roman" w:hAnsi="Times New Roman" w:cs="Times New Roman"/>
          <w:b/>
          <w:bCs/>
        </w:rPr>
        <w:t>.11.2025)</w:t>
      </w:r>
    </w:p>
    <w:p w14:paraId="365FE910" w14:textId="768C0745" w:rsidR="002B5E9E" w:rsidRPr="00180E4A" w:rsidRDefault="002B5E9E" w:rsidP="00202BD5">
      <w:pPr>
        <w:jc w:val="both"/>
        <w:rPr>
          <w:rFonts w:ascii="Times New Roman" w:hAnsi="Times New Roman" w:cs="Times New Roman"/>
        </w:rPr>
      </w:pPr>
      <w:r w:rsidRPr="00180E4A">
        <w:rPr>
          <w:rFonts w:ascii="Times New Roman" w:hAnsi="Times New Roman" w:cs="Times New Roman"/>
        </w:rPr>
        <w:t xml:space="preserve">Cea de-a </w:t>
      </w:r>
      <w:proofErr w:type="spellStart"/>
      <w:r w:rsidRPr="00180E4A">
        <w:rPr>
          <w:rFonts w:ascii="Times New Roman" w:hAnsi="Times New Roman" w:cs="Times New Roman"/>
        </w:rPr>
        <w:t>opta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săptămână</w:t>
      </w:r>
      <w:proofErr w:type="spellEnd"/>
      <w:r w:rsidRPr="00180E4A">
        <w:rPr>
          <w:rFonts w:ascii="Times New Roman" w:hAnsi="Times New Roman" w:cs="Times New Roman"/>
        </w:rPr>
        <w:t xml:space="preserve"> de </w:t>
      </w:r>
      <w:proofErr w:type="spellStart"/>
      <w:r w:rsidRPr="00180E4A">
        <w:rPr>
          <w:rFonts w:ascii="Times New Roman" w:hAnsi="Times New Roman" w:cs="Times New Roman"/>
        </w:rPr>
        <w:t>monitorizare</w:t>
      </w:r>
      <w:proofErr w:type="spellEnd"/>
      <w:r w:rsidRPr="00180E4A">
        <w:rPr>
          <w:rFonts w:ascii="Times New Roman" w:hAnsi="Times New Roman" w:cs="Times New Roman"/>
        </w:rPr>
        <w:t xml:space="preserve"> a </w:t>
      </w:r>
      <w:proofErr w:type="spellStart"/>
      <w:r w:rsidRPr="00180E4A">
        <w:rPr>
          <w:rFonts w:ascii="Times New Roman" w:hAnsi="Times New Roman" w:cs="Times New Roman"/>
        </w:rPr>
        <w:t>activității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virale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aduce</w:t>
      </w:r>
      <w:proofErr w:type="spellEnd"/>
      <w:r w:rsidRPr="00180E4A">
        <w:rPr>
          <w:rFonts w:ascii="Times New Roman" w:hAnsi="Times New Roman" w:cs="Times New Roman"/>
        </w:rPr>
        <w:t xml:space="preserve"> o </w:t>
      </w:r>
      <w:proofErr w:type="spellStart"/>
      <w:r w:rsidRPr="00180E4A">
        <w:rPr>
          <w:rFonts w:ascii="Times New Roman" w:hAnsi="Times New Roman" w:cs="Times New Roman"/>
        </w:rPr>
        <w:t>creștere</w:t>
      </w:r>
      <w:proofErr w:type="spellEnd"/>
      <w:r w:rsidRPr="00180E4A">
        <w:rPr>
          <w:rFonts w:ascii="Times New Roman" w:hAnsi="Times New Roman" w:cs="Times New Roman"/>
        </w:rPr>
        <w:t xml:space="preserve"> a </w:t>
      </w:r>
      <w:proofErr w:type="spellStart"/>
      <w:r w:rsidRPr="00180E4A">
        <w:rPr>
          <w:rFonts w:ascii="Times New Roman" w:hAnsi="Times New Roman" w:cs="Times New Roman"/>
        </w:rPr>
        <w:t>numărului</w:t>
      </w:r>
      <w:proofErr w:type="spellEnd"/>
      <w:r w:rsidRPr="00180E4A">
        <w:rPr>
          <w:rFonts w:ascii="Times New Roman" w:hAnsi="Times New Roman" w:cs="Times New Roman"/>
        </w:rPr>
        <w:t xml:space="preserve"> de </w:t>
      </w:r>
      <w:proofErr w:type="spellStart"/>
      <w:r w:rsidRPr="00180E4A">
        <w:rPr>
          <w:rFonts w:ascii="Times New Roman" w:hAnsi="Times New Roman" w:cs="Times New Roman"/>
        </w:rPr>
        <w:t>afecțiuni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respiratorii</w:t>
      </w:r>
      <w:proofErr w:type="spellEnd"/>
      <w:r w:rsidRPr="00180E4A">
        <w:rPr>
          <w:rFonts w:ascii="Times New Roman" w:hAnsi="Times New Roman" w:cs="Times New Roman"/>
        </w:rPr>
        <w:t xml:space="preserve">. </w:t>
      </w:r>
      <w:proofErr w:type="spellStart"/>
      <w:r w:rsidRPr="00180E4A">
        <w:rPr>
          <w:rFonts w:ascii="Times New Roman" w:hAnsi="Times New Roman" w:cs="Times New Roman"/>
        </w:rPr>
        <w:t>Comparativ</w:t>
      </w:r>
      <w:proofErr w:type="spellEnd"/>
      <w:r w:rsidRPr="00180E4A">
        <w:rPr>
          <w:rFonts w:ascii="Times New Roman" w:hAnsi="Times New Roman" w:cs="Times New Roman"/>
        </w:rPr>
        <w:t xml:space="preserve"> cu </w:t>
      </w:r>
      <w:proofErr w:type="spellStart"/>
      <w:r w:rsidRPr="00180E4A">
        <w:rPr>
          <w:rFonts w:ascii="Times New Roman" w:hAnsi="Times New Roman" w:cs="Times New Roman"/>
        </w:rPr>
        <w:t>săptămâna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trecută</w:t>
      </w:r>
      <w:proofErr w:type="spellEnd"/>
      <w:r w:rsidRPr="00180E4A">
        <w:rPr>
          <w:rFonts w:ascii="Times New Roman" w:hAnsi="Times New Roman" w:cs="Times New Roman"/>
        </w:rPr>
        <w:t xml:space="preserve"> s-au </w:t>
      </w:r>
      <w:proofErr w:type="spellStart"/>
      <w:r w:rsidRPr="00180E4A">
        <w:rPr>
          <w:rFonts w:ascii="Times New Roman" w:hAnsi="Times New Roman" w:cs="Times New Roman"/>
        </w:rPr>
        <w:t>înregistrat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două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cazuri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în</w:t>
      </w:r>
      <w:proofErr w:type="spellEnd"/>
      <w:r w:rsidRPr="00180E4A">
        <w:rPr>
          <w:rFonts w:ascii="Times New Roman" w:hAnsi="Times New Roman" w:cs="Times New Roman"/>
        </w:rPr>
        <w:t xml:space="preserve"> plus de </w:t>
      </w:r>
      <w:proofErr w:type="spellStart"/>
      <w:r w:rsidRPr="00180E4A">
        <w:rPr>
          <w:rFonts w:ascii="Times New Roman" w:hAnsi="Times New Roman" w:cs="Times New Roman"/>
        </w:rPr>
        <w:t>gripă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clinică</w:t>
      </w:r>
      <w:proofErr w:type="spellEnd"/>
      <w:r w:rsidRPr="00180E4A">
        <w:rPr>
          <w:rFonts w:ascii="Times New Roman" w:hAnsi="Times New Roman" w:cs="Times New Roman"/>
        </w:rPr>
        <w:t xml:space="preserve">, cu 426 de </w:t>
      </w:r>
      <w:proofErr w:type="spellStart"/>
      <w:r w:rsidRPr="00180E4A">
        <w:rPr>
          <w:rFonts w:ascii="Times New Roman" w:hAnsi="Times New Roman" w:cs="Times New Roman"/>
        </w:rPr>
        <w:t>cazuri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mai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mult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în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ceea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ce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priveșete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infecțiile</w:t>
      </w:r>
      <w:proofErr w:type="spellEnd"/>
      <w:r w:rsidRPr="00180E4A">
        <w:rPr>
          <w:rFonts w:ascii="Times New Roman" w:hAnsi="Times New Roman" w:cs="Times New Roman"/>
        </w:rPr>
        <w:t xml:space="preserve"> acute ale </w:t>
      </w:r>
      <w:proofErr w:type="spellStart"/>
      <w:r w:rsidRPr="00180E4A">
        <w:rPr>
          <w:rFonts w:ascii="Times New Roman" w:hAnsi="Times New Roman" w:cs="Times New Roman"/>
        </w:rPr>
        <w:t>căilor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respiratorii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superioare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și</w:t>
      </w:r>
      <w:proofErr w:type="spellEnd"/>
      <w:r w:rsidRPr="00180E4A">
        <w:rPr>
          <w:rFonts w:ascii="Times New Roman" w:hAnsi="Times New Roman" w:cs="Times New Roman"/>
        </w:rPr>
        <w:t xml:space="preserve"> o </w:t>
      </w:r>
      <w:proofErr w:type="spellStart"/>
      <w:r w:rsidRPr="00180E4A">
        <w:rPr>
          <w:rFonts w:ascii="Times New Roman" w:hAnsi="Times New Roman" w:cs="Times New Roman"/>
        </w:rPr>
        <w:t>creștere</w:t>
      </w:r>
      <w:proofErr w:type="spellEnd"/>
      <w:r w:rsidRPr="00180E4A">
        <w:rPr>
          <w:rFonts w:ascii="Times New Roman" w:hAnsi="Times New Roman" w:cs="Times New Roman"/>
        </w:rPr>
        <w:t xml:space="preserve"> cu 29 de </w:t>
      </w:r>
      <w:proofErr w:type="spellStart"/>
      <w:r w:rsidRPr="00180E4A">
        <w:rPr>
          <w:rFonts w:ascii="Times New Roman" w:hAnsi="Times New Roman" w:cs="Times New Roman"/>
        </w:rPr>
        <w:t>cazuri</w:t>
      </w:r>
      <w:proofErr w:type="spellEnd"/>
      <w:r w:rsidRPr="00180E4A">
        <w:rPr>
          <w:rFonts w:ascii="Times New Roman" w:hAnsi="Times New Roman" w:cs="Times New Roman"/>
        </w:rPr>
        <w:t xml:space="preserve"> a </w:t>
      </w:r>
      <w:proofErr w:type="spellStart"/>
      <w:r w:rsidRPr="00180E4A">
        <w:rPr>
          <w:rFonts w:ascii="Times New Roman" w:hAnsi="Times New Roman" w:cs="Times New Roman"/>
        </w:rPr>
        <w:t>numărului</w:t>
      </w:r>
      <w:proofErr w:type="spellEnd"/>
      <w:r w:rsidRPr="00180E4A">
        <w:rPr>
          <w:rFonts w:ascii="Times New Roman" w:hAnsi="Times New Roman" w:cs="Times New Roman"/>
        </w:rPr>
        <w:t xml:space="preserve"> de </w:t>
      </w:r>
      <w:proofErr w:type="spellStart"/>
      <w:r w:rsidRPr="00180E4A">
        <w:rPr>
          <w:rFonts w:ascii="Times New Roman" w:hAnsi="Times New Roman" w:cs="Times New Roman"/>
        </w:rPr>
        <w:t>pneumopatii</w:t>
      </w:r>
      <w:proofErr w:type="spellEnd"/>
      <w:r w:rsidRPr="00180E4A">
        <w:rPr>
          <w:rFonts w:ascii="Times New Roman" w:hAnsi="Times New Roman" w:cs="Times New Roman"/>
        </w:rPr>
        <w:t xml:space="preserve">. </w:t>
      </w:r>
    </w:p>
    <w:p w14:paraId="1500409E" w14:textId="0F1E03CA" w:rsidR="002B5E9E" w:rsidRPr="00180E4A" w:rsidRDefault="002B5E9E" w:rsidP="00202BD5">
      <w:pPr>
        <w:jc w:val="both"/>
        <w:rPr>
          <w:rFonts w:ascii="Times New Roman" w:hAnsi="Times New Roman" w:cs="Times New Roman"/>
        </w:rPr>
      </w:pPr>
      <w:proofErr w:type="spellStart"/>
      <w:r w:rsidRPr="00180E4A">
        <w:rPr>
          <w:rFonts w:ascii="Times New Roman" w:hAnsi="Times New Roman" w:cs="Times New Roman"/>
        </w:rPr>
        <w:t>Comparativ</w:t>
      </w:r>
      <w:proofErr w:type="spellEnd"/>
      <w:r w:rsidRPr="00180E4A">
        <w:rPr>
          <w:rFonts w:ascii="Times New Roman" w:hAnsi="Times New Roman" w:cs="Times New Roman"/>
        </w:rPr>
        <w:t xml:space="preserve"> cu </w:t>
      </w:r>
      <w:proofErr w:type="spellStart"/>
      <w:r w:rsidRPr="00180E4A">
        <w:rPr>
          <w:rFonts w:ascii="Times New Roman" w:hAnsi="Times New Roman" w:cs="Times New Roman"/>
        </w:rPr>
        <w:t>aceeași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perioadă</w:t>
      </w:r>
      <w:proofErr w:type="spellEnd"/>
      <w:r w:rsidRPr="00180E4A">
        <w:rPr>
          <w:rFonts w:ascii="Times New Roman" w:hAnsi="Times New Roman" w:cs="Times New Roman"/>
        </w:rPr>
        <w:t xml:space="preserve"> a </w:t>
      </w:r>
      <w:proofErr w:type="spellStart"/>
      <w:r w:rsidRPr="00180E4A">
        <w:rPr>
          <w:rFonts w:ascii="Times New Roman" w:hAnsi="Times New Roman" w:cs="Times New Roman"/>
        </w:rPr>
        <w:t>anului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trecut</w:t>
      </w:r>
      <w:proofErr w:type="spellEnd"/>
      <w:r w:rsidRPr="00180E4A">
        <w:rPr>
          <w:rFonts w:ascii="Times New Roman" w:hAnsi="Times New Roman" w:cs="Times New Roman"/>
        </w:rPr>
        <w:t xml:space="preserve"> se </w:t>
      </w:r>
      <w:proofErr w:type="spellStart"/>
      <w:r w:rsidRPr="00180E4A">
        <w:rPr>
          <w:rFonts w:ascii="Times New Roman" w:hAnsi="Times New Roman" w:cs="Times New Roman"/>
        </w:rPr>
        <w:t>înregistrează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creșteri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în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ceea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ce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privește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numărul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afecțiunilor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clinice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compatibile</w:t>
      </w:r>
      <w:proofErr w:type="spellEnd"/>
      <w:r w:rsidRPr="00180E4A">
        <w:rPr>
          <w:rFonts w:ascii="Times New Roman" w:hAnsi="Times New Roman" w:cs="Times New Roman"/>
        </w:rPr>
        <w:t xml:space="preserve"> cu </w:t>
      </w:r>
      <w:proofErr w:type="spellStart"/>
      <w:r w:rsidRPr="00180E4A">
        <w:rPr>
          <w:rFonts w:ascii="Times New Roman" w:hAnsi="Times New Roman" w:cs="Times New Roman"/>
        </w:rPr>
        <w:t>gripa</w:t>
      </w:r>
      <w:proofErr w:type="spellEnd"/>
      <w:r w:rsidR="000B4F75" w:rsidRPr="00180E4A">
        <w:rPr>
          <w:rFonts w:ascii="Times New Roman" w:hAnsi="Times New Roman" w:cs="Times New Roman"/>
        </w:rPr>
        <w:t xml:space="preserve"> (0 </w:t>
      </w:r>
      <w:proofErr w:type="spellStart"/>
      <w:r w:rsidR="000B4F75" w:rsidRPr="00180E4A">
        <w:rPr>
          <w:rFonts w:ascii="Times New Roman" w:hAnsi="Times New Roman" w:cs="Times New Roman"/>
        </w:rPr>
        <w:t>cazuri</w:t>
      </w:r>
      <w:proofErr w:type="spellEnd"/>
      <w:r w:rsidR="000B4F75" w:rsidRPr="00180E4A">
        <w:rPr>
          <w:rFonts w:ascii="Times New Roman" w:hAnsi="Times New Roman" w:cs="Times New Roman"/>
        </w:rPr>
        <w:t xml:space="preserve"> </w:t>
      </w:r>
      <w:proofErr w:type="spellStart"/>
      <w:r w:rsidR="000B4F75" w:rsidRPr="00180E4A">
        <w:rPr>
          <w:rFonts w:ascii="Times New Roman" w:hAnsi="Times New Roman" w:cs="Times New Roman"/>
        </w:rPr>
        <w:t>în</w:t>
      </w:r>
      <w:proofErr w:type="spellEnd"/>
      <w:r w:rsidR="000B4F75" w:rsidRPr="00180E4A">
        <w:rPr>
          <w:rFonts w:ascii="Times New Roman" w:hAnsi="Times New Roman" w:cs="Times New Roman"/>
        </w:rPr>
        <w:t xml:space="preserve"> 2024)</w:t>
      </w:r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și</w:t>
      </w:r>
      <w:proofErr w:type="spellEnd"/>
      <w:r w:rsidRPr="00180E4A">
        <w:rPr>
          <w:rFonts w:ascii="Times New Roman" w:hAnsi="Times New Roman" w:cs="Times New Roman"/>
        </w:rPr>
        <w:t xml:space="preserve"> a </w:t>
      </w:r>
      <w:proofErr w:type="spellStart"/>
      <w:r w:rsidRPr="00180E4A">
        <w:rPr>
          <w:rFonts w:ascii="Times New Roman" w:hAnsi="Times New Roman" w:cs="Times New Roman"/>
        </w:rPr>
        <w:t>p</w:t>
      </w:r>
      <w:r w:rsidR="000B4F75" w:rsidRPr="00180E4A">
        <w:rPr>
          <w:rFonts w:ascii="Times New Roman" w:hAnsi="Times New Roman" w:cs="Times New Roman"/>
        </w:rPr>
        <w:t>neumopatiilor</w:t>
      </w:r>
      <w:proofErr w:type="spellEnd"/>
      <w:r w:rsidR="000B4F75" w:rsidRPr="00180E4A">
        <w:rPr>
          <w:rFonts w:ascii="Times New Roman" w:hAnsi="Times New Roman" w:cs="Times New Roman"/>
        </w:rPr>
        <w:t xml:space="preserve"> (318 </w:t>
      </w:r>
      <w:proofErr w:type="spellStart"/>
      <w:r w:rsidR="000B4F75" w:rsidRPr="00180E4A">
        <w:rPr>
          <w:rFonts w:ascii="Times New Roman" w:hAnsi="Times New Roman" w:cs="Times New Roman"/>
        </w:rPr>
        <w:t>în</w:t>
      </w:r>
      <w:proofErr w:type="spellEnd"/>
      <w:r w:rsidR="000B4F75" w:rsidRPr="00180E4A">
        <w:rPr>
          <w:rFonts w:ascii="Times New Roman" w:hAnsi="Times New Roman" w:cs="Times New Roman"/>
        </w:rPr>
        <w:t xml:space="preserve"> 2024). </w:t>
      </w:r>
    </w:p>
    <w:p w14:paraId="1E4A3DA1" w14:textId="7B7D1006" w:rsidR="000B4F75" w:rsidRPr="00180E4A" w:rsidRDefault="004E524E" w:rsidP="00202BD5">
      <w:pPr>
        <w:jc w:val="both"/>
        <w:rPr>
          <w:rFonts w:ascii="Times New Roman" w:hAnsi="Times New Roman" w:cs="Times New Roman"/>
        </w:rPr>
      </w:pPr>
      <w:proofErr w:type="spellStart"/>
      <w:r w:rsidRPr="00180E4A">
        <w:rPr>
          <w:rFonts w:ascii="Times New Roman" w:hAnsi="Times New Roman" w:cs="Times New Roman"/>
        </w:rPr>
        <w:t>În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perioada</w:t>
      </w:r>
      <w:proofErr w:type="spellEnd"/>
      <w:r w:rsidRPr="00180E4A">
        <w:rPr>
          <w:rFonts w:ascii="Times New Roman" w:hAnsi="Times New Roman" w:cs="Times New Roman"/>
        </w:rPr>
        <w:t xml:space="preserve"> 17-23 </w:t>
      </w:r>
      <w:proofErr w:type="spellStart"/>
      <w:r w:rsidRPr="00180E4A">
        <w:rPr>
          <w:rFonts w:ascii="Times New Roman" w:hAnsi="Times New Roman" w:cs="Times New Roman"/>
        </w:rPr>
        <w:t>noiembrie</w:t>
      </w:r>
      <w:proofErr w:type="spellEnd"/>
      <w:r w:rsidRPr="00180E4A">
        <w:rPr>
          <w:rFonts w:ascii="Times New Roman" w:hAnsi="Times New Roman" w:cs="Times New Roman"/>
        </w:rPr>
        <w:t xml:space="preserve"> 2025, </w:t>
      </w:r>
      <w:proofErr w:type="spellStart"/>
      <w:r w:rsidRPr="00180E4A">
        <w:rPr>
          <w:rFonts w:ascii="Times New Roman" w:hAnsi="Times New Roman" w:cs="Times New Roman"/>
        </w:rPr>
        <w:t>medicii</w:t>
      </w:r>
      <w:proofErr w:type="spellEnd"/>
      <w:r w:rsidRPr="00180E4A">
        <w:rPr>
          <w:rFonts w:ascii="Times New Roman" w:hAnsi="Times New Roman" w:cs="Times New Roman"/>
        </w:rPr>
        <w:t xml:space="preserve"> au </w:t>
      </w:r>
      <w:proofErr w:type="spellStart"/>
      <w:r w:rsidRPr="00180E4A">
        <w:rPr>
          <w:rFonts w:ascii="Times New Roman" w:hAnsi="Times New Roman" w:cs="Times New Roman"/>
        </w:rPr>
        <w:t>raportat</w:t>
      </w:r>
      <w:proofErr w:type="spellEnd"/>
      <w:r w:rsidRPr="00180E4A">
        <w:rPr>
          <w:rFonts w:ascii="Times New Roman" w:hAnsi="Times New Roman" w:cs="Times New Roman"/>
        </w:rPr>
        <w:t xml:space="preserve"> un </w:t>
      </w:r>
      <w:proofErr w:type="spellStart"/>
      <w:r w:rsidRPr="00180E4A">
        <w:rPr>
          <w:rFonts w:ascii="Times New Roman" w:hAnsi="Times New Roman" w:cs="Times New Roman"/>
        </w:rPr>
        <w:t>număr</w:t>
      </w:r>
      <w:proofErr w:type="spellEnd"/>
      <w:r w:rsidRPr="00180E4A">
        <w:rPr>
          <w:rFonts w:ascii="Times New Roman" w:hAnsi="Times New Roman" w:cs="Times New Roman"/>
        </w:rPr>
        <w:t xml:space="preserve"> de 6 </w:t>
      </w:r>
      <w:proofErr w:type="spellStart"/>
      <w:r w:rsidRPr="00180E4A">
        <w:rPr>
          <w:rFonts w:ascii="Times New Roman" w:hAnsi="Times New Roman" w:cs="Times New Roman"/>
        </w:rPr>
        <w:t>diagnostice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clinice</w:t>
      </w:r>
      <w:proofErr w:type="spellEnd"/>
      <w:r w:rsidRPr="00180E4A">
        <w:rPr>
          <w:rFonts w:ascii="Times New Roman" w:hAnsi="Times New Roman" w:cs="Times New Roman"/>
        </w:rPr>
        <w:t xml:space="preserve"> de </w:t>
      </w:r>
      <w:proofErr w:type="spellStart"/>
      <w:r w:rsidRPr="00180E4A">
        <w:rPr>
          <w:rFonts w:ascii="Times New Roman" w:hAnsi="Times New Roman" w:cs="Times New Roman"/>
        </w:rPr>
        <w:t>gripă</w:t>
      </w:r>
      <w:proofErr w:type="spellEnd"/>
      <w:r w:rsidRPr="00180E4A">
        <w:rPr>
          <w:rFonts w:ascii="Times New Roman" w:hAnsi="Times New Roman" w:cs="Times New Roman"/>
        </w:rPr>
        <w:t xml:space="preserve">. </w:t>
      </w:r>
      <w:proofErr w:type="spellStart"/>
      <w:r w:rsidRPr="00180E4A">
        <w:rPr>
          <w:rFonts w:ascii="Times New Roman" w:hAnsi="Times New Roman" w:cs="Times New Roman"/>
        </w:rPr>
        <w:t>În</w:t>
      </w:r>
      <w:proofErr w:type="spellEnd"/>
      <w:r w:rsidRPr="00180E4A">
        <w:rPr>
          <w:rFonts w:ascii="Times New Roman" w:hAnsi="Times New Roman" w:cs="Times New Roman"/>
        </w:rPr>
        <w:t xml:space="preserve"> 2 </w:t>
      </w:r>
      <w:proofErr w:type="spellStart"/>
      <w:r w:rsidRPr="00180E4A">
        <w:rPr>
          <w:rFonts w:ascii="Times New Roman" w:hAnsi="Times New Roman" w:cs="Times New Roman"/>
        </w:rPr>
        <w:t>dintre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cazuri</w:t>
      </w:r>
      <w:proofErr w:type="spellEnd"/>
      <w:r w:rsidRPr="00180E4A">
        <w:rPr>
          <w:rFonts w:ascii="Times New Roman" w:hAnsi="Times New Roman" w:cs="Times New Roman"/>
        </w:rPr>
        <w:t xml:space="preserve"> a </w:t>
      </w:r>
      <w:proofErr w:type="spellStart"/>
      <w:r w:rsidRPr="00180E4A">
        <w:rPr>
          <w:rFonts w:ascii="Times New Roman" w:hAnsi="Times New Roman" w:cs="Times New Roman"/>
        </w:rPr>
        <w:t>fost</w:t>
      </w:r>
      <w:proofErr w:type="spellEnd"/>
      <w:r w:rsidRPr="00180E4A">
        <w:rPr>
          <w:rFonts w:ascii="Times New Roman" w:hAnsi="Times New Roman" w:cs="Times New Roman"/>
        </w:rPr>
        <w:t xml:space="preserve"> </w:t>
      </w:r>
      <w:proofErr w:type="spellStart"/>
      <w:r w:rsidRPr="00180E4A">
        <w:rPr>
          <w:rFonts w:ascii="Times New Roman" w:hAnsi="Times New Roman" w:cs="Times New Roman"/>
        </w:rPr>
        <w:t>nevoie</w:t>
      </w:r>
      <w:proofErr w:type="spellEnd"/>
      <w:r w:rsidRPr="00180E4A">
        <w:rPr>
          <w:rFonts w:ascii="Times New Roman" w:hAnsi="Times New Roman" w:cs="Times New Roman"/>
        </w:rPr>
        <w:t xml:space="preserve"> de </w:t>
      </w:r>
      <w:proofErr w:type="spellStart"/>
      <w:r w:rsidRPr="00180E4A">
        <w:rPr>
          <w:rFonts w:ascii="Times New Roman" w:hAnsi="Times New Roman" w:cs="Times New Roman"/>
        </w:rPr>
        <w:t>internare</w:t>
      </w:r>
      <w:proofErr w:type="spellEnd"/>
      <w:r w:rsidRPr="00180E4A">
        <w:rPr>
          <w:rFonts w:ascii="Times New Roman" w:hAnsi="Times New Roman" w:cs="Times New Roman"/>
        </w:rPr>
        <w:t xml:space="preserve">. </w:t>
      </w:r>
    </w:p>
    <w:p w14:paraId="31552195" w14:textId="77777777" w:rsidR="004711DA" w:rsidRPr="007F1EE8" w:rsidRDefault="004711DA" w:rsidP="002B5E9E">
      <w:pPr>
        <w:rPr>
          <w:rFonts w:ascii="Times New Roman" w:hAnsi="Times New Roman" w:cs="Times New Roman"/>
          <w:b/>
          <w:bCs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511"/>
        <w:gridCol w:w="1091"/>
        <w:gridCol w:w="1054"/>
        <w:gridCol w:w="1084"/>
        <w:gridCol w:w="1084"/>
        <w:gridCol w:w="1084"/>
        <w:gridCol w:w="1054"/>
        <w:gridCol w:w="1054"/>
      </w:tblGrid>
      <w:tr w:rsidR="004711DA" w:rsidRPr="009053C2" w14:paraId="69AC84A5" w14:textId="77777777" w:rsidTr="00081F03">
        <w:tc>
          <w:tcPr>
            <w:tcW w:w="1511" w:type="dxa"/>
          </w:tcPr>
          <w:p w14:paraId="221E93FA" w14:textId="77777777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GRIPĂ</w:t>
            </w:r>
          </w:p>
        </w:tc>
        <w:tc>
          <w:tcPr>
            <w:tcW w:w="1091" w:type="dxa"/>
          </w:tcPr>
          <w:p w14:paraId="0A1FA7B4" w14:textId="77777777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54" w:type="dxa"/>
          </w:tcPr>
          <w:p w14:paraId="7B715B9C" w14:textId="77777777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084" w:type="dxa"/>
          </w:tcPr>
          <w:p w14:paraId="46D46ADB" w14:textId="77777777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084" w:type="dxa"/>
          </w:tcPr>
          <w:p w14:paraId="5E141EB6" w14:textId="77777777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5-14</w:t>
            </w:r>
          </w:p>
        </w:tc>
        <w:tc>
          <w:tcPr>
            <w:tcW w:w="1084" w:type="dxa"/>
          </w:tcPr>
          <w:p w14:paraId="44EB0D13" w14:textId="77777777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15-49</w:t>
            </w:r>
          </w:p>
        </w:tc>
        <w:tc>
          <w:tcPr>
            <w:tcW w:w="1054" w:type="dxa"/>
          </w:tcPr>
          <w:p w14:paraId="08616D65" w14:textId="77777777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50-64</w:t>
            </w:r>
          </w:p>
        </w:tc>
        <w:tc>
          <w:tcPr>
            <w:tcW w:w="1054" w:type="dxa"/>
          </w:tcPr>
          <w:p w14:paraId="1CAE66DA" w14:textId="77777777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&gt;65</w:t>
            </w:r>
          </w:p>
        </w:tc>
      </w:tr>
      <w:tr w:rsidR="004711DA" w:rsidRPr="009053C2" w14:paraId="72F91CDD" w14:textId="77777777" w:rsidTr="00081F03">
        <w:tc>
          <w:tcPr>
            <w:tcW w:w="1511" w:type="dxa"/>
          </w:tcPr>
          <w:p w14:paraId="1A69AAC6" w14:textId="77777777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91" w:type="dxa"/>
          </w:tcPr>
          <w:p w14:paraId="62C938EE" w14:textId="77777777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4" w:type="dxa"/>
          </w:tcPr>
          <w:p w14:paraId="5C99FBD8" w14:textId="0E437C20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1A5F7133" w14:textId="77777777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4" w:type="dxa"/>
          </w:tcPr>
          <w:p w14:paraId="5A86824C" w14:textId="13D98A18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</w:tcPr>
          <w:p w14:paraId="75419677" w14:textId="1AC0691D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4" w:type="dxa"/>
          </w:tcPr>
          <w:p w14:paraId="703652E8" w14:textId="77777777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6F177BE6" w14:textId="62A7823A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11DA" w:rsidRPr="009053C2" w14:paraId="0DF2BC4E" w14:textId="77777777" w:rsidTr="00081F03">
        <w:tc>
          <w:tcPr>
            <w:tcW w:w="1511" w:type="dxa"/>
          </w:tcPr>
          <w:p w14:paraId="59D5434B" w14:textId="77777777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INTERNARI</w:t>
            </w:r>
          </w:p>
        </w:tc>
        <w:tc>
          <w:tcPr>
            <w:tcW w:w="1091" w:type="dxa"/>
          </w:tcPr>
          <w:p w14:paraId="65837B92" w14:textId="77777777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4" w:type="dxa"/>
          </w:tcPr>
          <w:p w14:paraId="00287C64" w14:textId="77777777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2C38AE78" w14:textId="77777777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</w:tcPr>
          <w:p w14:paraId="1589F688" w14:textId="77777777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68C38576" w14:textId="5DAC711D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2FE3F9B4" w14:textId="77777777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57EF2F34" w14:textId="42D2D242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11DA" w:rsidRPr="009053C2" w14:paraId="42CDCEA2" w14:textId="77777777" w:rsidTr="00081F03">
        <w:tc>
          <w:tcPr>
            <w:tcW w:w="1511" w:type="dxa"/>
          </w:tcPr>
          <w:p w14:paraId="342EAAB8" w14:textId="77777777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DECESE</w:t>
            </w:r>
          </w:p>
        </w:tc>
        <w:tc>
          <w:tcPr>
            <w:tcW w:w="1091" w:type="dxa"/>
          </w:tcPr>
          <w:p w14:paraId="7D581906" w14:textId="77777777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37C5069F" w14:textId="77777777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1C9BDCF4" w14:textId="77777777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2278324B" w14:textId="77777777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782E1CD1" w14:textId="77777777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1C147943" w14:textId="77777777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587CB237" w14:textId="77777777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</w:tr>
      <w:tr w:rsidR="004711DA" w:rsidRPr="009053C2" w14:paraId="5F023D83" w14:textId="77777777" w:rsidTr="00081F03">
        <w:tc>
          <w:tcPr>
            <w:tcW w:w="1511" w:type="dxa"/>
          </w:tcPr>
          <w:p w14:paraId="6C7CF0D8" w14:textId="77777777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91" w:type="dxa"/>
          </w:tcPr>
          <w:p w14:paraId="10308010" w14:textId="77777777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33,33%</w:t>
            </w:r>
          </w:p>
        </w:tc>
        <w:tc>
          <w:tcPr>
            <w:tcW w:w="1054" w:type="dxa"/>
          </w:tcPr>
          <w:p w14:paraId="2FADA760" w14:textId="0217A769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33FAE53E" w14:textId="77777777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33,33%</w:t>
            </w:r>
          </w:p>
        </w:tc>
        <w:tc>
          <w:tcPr>
            <w:tcW w:w="1084" w:type="dxa"/>
          </w:tcPr>
          <w:p w14:paraId="3B394D6C" w14:textId="7CCDE6AE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16,66</w:t>
            </w:r>
          </w:p>
        </w:tc>
        <w:tc>
          <w:tcPr>
            <w:tcW w:w="1084" w:type="dxa"/>
          </w:tcPr>
          <w:p w14:paraId="205BF02B" w14:textId="2C63DE77" w:rsidR="004711DA" w:rsidRPr="009053C2" w:rsidRDefault="004674D6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  <w:r w:rsidR="004711DA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4" w:type="dxa"/>
          </w:tcPr>
          <w:p w14:paraId="0219637D" w14:textId="77777777" w:rsidR="004711DA" w:rsidRPr="009053C2" w:rsidRDefault="004711DA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230A58ED" w14:textId="4B2618A6" w:rsidR="004711DA" w:rsidRPr="009053C2" w:rsidRDefault="004674D6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16,66%</w:t>
            </w:r>
          </w:p>
        </w:tc>
      </w:tr>
    </w:tbl>
    <w:p w14:paraId="5BD0D597" w14:textId="77777777" w:rsidR="00A33DCD" w:rsidRDefault="00A33DCD"/>
    <w:p w14:paraId="7EA91EB4" w14:textId="232802FD" w:rsidR="00253911" w:rsidRPr="005D6C46" w:rsidRDefault="00253911" w:rsidP="00202BD5">
      <w:pPr>
        <w:jc w:val="both"/>
        <w:rPr>
          <w:rFonts w:ascii="Times New Roman" w:hAnsi="Times New Roman" w:cs="Times New Roman"/>
        </w:rPr>
      </w:pPr>
      <w:proofErr w:type="spellStart"/>
      <w:r w:rsidRPr="005D6C46">
        <w:rPr>
          <w:rFonts w:ascii="Times New Roman" w:hAnsi="Times New Roman" w:cs="Times New Roman"/>
        </w:rPr>
        <w:t>Numărul</w:t>
      </w:r>
      <w:proofErr w:type="spellEnd"/>
      <w:r w:rsidRPr="005D6C46">
        <w:rPr>
          <w:rFonts w:ascii="Times New Roman" w:hAnsi="Times New Roman" w:cs="Times New Roman"/>
        </w:rPr>
        <w:t xml:space="preserve"> </w:t>
      </w:r>
      <w:proofErr w:type="spellStart"/>
      <w:r w:rsidRPr="005D6C46">
        <w:rPr>
          <w:rFonts w:ascii="Times New Roman" w:hAnsi="Times New Roman" w:cs="Times New Roman"/>
        </w:rPr>
        <w:t>infecțiilor</w:t>
      </w:r>
      <w:proofErr w:type="spellEnd"/>
      <w:r w:rsidRPr="005D6C46">
        <w:rPr>
          <w:rFonts w:ascii="Times New Roman" w:hAnsi="Times New Roman" w:cs="Times New Roman"/>
        </w:rPr>
        <w:t xml:space="preserve"> acute ale </w:t>
      </w:r>
      <w:proofErr w:type="spellStart"/>
      <w:r w:rsidRPr="005D6C46">
        <w:rPr>
          <w:rFonts w:ascii="Times New Roman" w:hAnsi="Times New Roman" w:cs="Times New Roman"/>
        </w:rPr>
        <w:t>căilor</w:t>
      </w:r>
      <w:proofErr w:type="spellEnd"/>
      <w:r w:rsidRPr="005D6C46">
        <w:rPr>
          <w:rFonts w:ascii="Times New Roman" w:hAnsi="Times New Roman" w:cs="Times New Roman"/>
        </w:rPr>
        <w:t xml:space="preserve"> </w:t>
      </w:r>
      <w:proofErr w:type="spellStart"/>
      <w:r w:rsidRPr="005D6C46">
        <w:rPr>
          <w:rFonts w:ascii="Times New Roman" w:hAnsi="Times New Roman" w:cs="Times New Roman"/>
        </w:rPr>
        <w:t>respiratorii</w:t>
      </w:r>
      <w:proofErr w:type="spellEnd"/>
      <w:r w:rsidRPr="005D6C46">
        <w:rPr>
          <w:rFonts w:ascii="Times New Roman" w:hAnsi="Times New Roman" w:cs="Times New Roman"/>
        </w:rPr>
        <w:t xml:space="preserve"> a </w:t>
      </w:r>
      <w:proofErr w:type="spellStart"/>
      <w:r w:rsidRPr="005D6C46">
        <w:rPr>
          <w:rFonts w:ascii="Times New Roman" w:hAnsi="Times New Roman" w:cs="Times New Roman"/>
        </w:rPr>
        <w:t>crescut</w:t>
      </w:r>
      <w:proofErr w:type="spellEnd"/>
      <w:r w:rsidRPr="005D6C46">
        <w:rPr>
          <w:rFonts w:ascii="Times New Roman" w:hAnsi="Times New Roman" w:cs="Times New Roman"/>
        </w:rPr>
        <w:t xml:space="preserve"> </w:t>
      </w:r>
      <w:proofErr w:type="spellStart"/>
      <w:r w:rsidRPr="005D6C46">
        <w:rPr>
          <w:rFonts w:ascii="Times New Roman" w:hAnsi="Times New Roman" w:cs="Times New Roman"/>
        </w:rPr>
        <w:t>simțitor</w:t>
      </w:r>
      <w:proofErr w:type="spellEnd"/>
      <w:r w:rsidRPr="005D6C46">
        <w:rPr>
          <w:rFonts w:ascii="Times New Roman" w:hAnsi="Times New Roman" w:cs="Times New Roman"/>
        </w:rPr>
        <w:t xml:space="preserve"> </w:t>
      </w:r>
      <w:proofErr w:type="spellStart"/>
      <w:r w:rsidRPr="005D6C46">
        <w:rPr>
          <w:rFonts w:ascii="Times New Roman" w:hAnsi="Times New Roman" w:cs="Times New Roman"/>
        </w:rPr>
        <w:t>comparativ</w:t>
      </w:r>
      <w:proofErr w:type="spellEnd"/>
      <w:r w:rsidRPr="005D6C46">
        <w:rPr>
          <w:rFonts w:ascii="Times New Roman" w:hAnsi="Times New Roman" w:cs="Times New Roman"/>
        </w:rPr>
        <w:t xml:space="preserve"> cu </w:t>
      </w:r>
      <w:proofErr w:type="spellStart"/>
      <w:r w:rsidRPr="005D6C46">
        <w:rPr>
          <w:rFonts w:ascii="Times New Roman" w:hAnsi="Times New Roman" w:cs="Times New Roman"/>
        </w:rPr>
        <w:t>săptămâna</w:t>
      </w:r>
      <w:proofErr w:type="spellEnd"/>
      <w:r w:rsidRPr="005D6C46">
        <w:rPr>
          <w:rFonts w:ascii="Times New Roman" w:hAnsi="Times New Roman" w:cs="Times New Roman"/>
        </w:rPr>
        <w:t xml:space="preserve"> </w:t>
      </w:r>
      <w:proofErr w:type="spellStart"/>
      <w:r w:rsidRPr="005D6C46">
        <w:rPr>
          <w:rFonts w:ascii="Times New Roman" w:hAnsi="Times New Roman" w:cs="Times New Roman"/>
        </w:rPr>
        <w:t>trecută</w:t>
      </w:r>
      <w:proofErr w:type="spellEnd"/>
      <w:r w:rsidRPr="005D6C46">
        <w:rPr>
          <w:rFonts w:ascii="Times New Roman" w:hAnsi="Times New Roman" w:cs="Times New Roman"/>
        </w:rPr>
        <w:t xml:space="preserve">. Au </w:t>
      </w:r>
      <w:proofErr w:type="spellStart"/>
      <w:r w:rsidRPr="005D6C46">
        <w:rPr>
          <w:rFonts w:ascii="Times New Roman" w:hAnsi="Times New Roman" w:cs="Times New Roman"/>
        </w:rPr>
        <w:t>fost</w:t>
      </w:r>
      <w:proofErr w:type="spellEnd"/>
      <w:r w:rsidRPr="005D6C46">
        <w:rPr>
          <w:rFonts w:ascii="Times New Roman" w:hAnsi="Times New Roman" w:cs="Times New Roman"/>
        </w:rPr>
        <w:t xml:space="preserve"> </w:t>
      </w:r>
      <w:proofErr w:type="spellStart"/>
      <w:r w:rsidRPr="005D6C46">
        <w:rPr>
          <w:rFonts w:ascii="Times New Roman" w:hAnsi="Times New Roman" w:cs="Times New Roman"/>
        </w:rPr>
        <w:t>înregistrate</w:t>
      </w:r>
      <w:proofErr w:type="spellEnd"/>
      <w:r w:rsidRPr="005D6C46">
        <w:rPr>
          <w:rFonts w:ascii="Times New Roman" w:hAnsi="Times New Roman" w:cs="Times New Roman"/>
        </w:rPr>
        <w:t xml:space="preserve"> 1643 de </w:t>
      </w:r>
      <w:proofErr w:type="spellStart"/>
      <w:r w:rsidRPr="005D6C46">
        <w:rPr>
          <w:rFonts w:ascii="Times New Roman" w:hAnsi="Times New Roman" w:cs="Times New Roman"/>
        </w:rPr>
        <w:t>îmbolnăviri</w:t>
      </w:r>
      <w:proofErr w:type="spellEnd"/>
      <w:r w:rsidRPr="005D6C46">
        <w:rPr>
          <w:rFonts w:ascii="Times New Roman" w:hAnsi="Times New Roman" w:cs="Times New Roman"/>
        </w:rPr>
        <w:t xml:space="preserve">, </w:t>
      </w:r>
      <w:proofErr w:type="spellStart"/>
      <w:r w:rsidRPr="005D6C46">
        <w:rPr>
          <w:rFonts w:ascii="Times New Roman" w:hAnsi="Times New Roman" w:cs="Times New Roman"/>
        </w:rPr>
        <w:t>cele</w:t>
      </w:r>
      <w:proofErr w:type="spellEnd"/>
      <w:r w:rsidRPr="005D6C46">
        <w:rPr>
          <w:rFonts w:ascii="Times New Roman" w:hAnsi="Times New Roman" w:cs="Times New Roman"/>
        </w:rPr>
        <w:t xml:space="preserve"> </w:t>
      </w:r>
      <w:proofErr w:type="spellStart"/>
      <w:r w:rsidRPr="005D6C46">
        <w:rPr>
          <w:rFonts w:ascii="Times New Roman" w:hAnsi="Times New Roman" w:cs="Times New Roman"/>
        </w:rPr>
        <w:t>mai</w:t>
      </w:r>
      <w:proofErr w:type="spellEnd"/>
      <w:r w:rsidRPr="005D6C46">
        <w:rPr>
          <w:rFonts w:ascii="Times New Roman" w:hAnsi="Times New Roman" w:cs="Times New Roman"/>
        </w:rPr>
        <w:t xml:space="preserve"> </w:t>
      </w:r>
      <w:proofErr w:type="spellStart"/>
      <w:r w:rsidRPr="005D6C46">
        <w:rPr>
          <w:rFonts w:ascii="Times New Roman" w:hAnsi="Times New Roman" w:cs="Times New Roman"/>
        </w:rPr>
        <w:t>multe</w:t>
      </w:r>
      <w:proofErr w:type="spellEnd"/>
      <w:r w:rsidRPr="005D6C46">
        <w:rPr>
          <w:rFonts w:ascii="Times New Roman" w:hAnsi="Times New Roman" w:cs="Times New Roman"/>
        </w:rPr>
        <w:t xml:space="preserve"> la </w:t>
      </w:r>
      <w:proofErr w:type="spellStart"/>
      <w:r w:rsidRPr="005D6C46">
        <w:rPr>
          <w:rFonts w:ascii="Times New Roman" w:hAnsi="Times New Roman" w:cs="Times New Roman"/>
        </w:rPr>
        <w:t>copii</w:t>
      </w:r>
      <w:r w:rsidR="00C6718B">
        <w:rPr>
          <w:rFonts w:ascii="Times New Roman" w:hAnsi="Times New Roman" w:cs="Times New Roman"/>
        </w:rPr>
        <w:t>i</w:t>
      </w:r>
      <w:proofErr w:type="spellEnd"/>
      <w:r w:rsidRPr="005D6C46">
        <w:rPr>
          <w:rFonts w:ascii="Times New Roman" w:hAnsi="Times New Roman" w:cs="Times New Roman"/>
        </w:rPr>
        <w:t xml:space="preserve"> cu </w:t>
      </w:r>
      <w:proofErr w:type="spellStart"/>
      <w:r w:rsidRPr="005D6C46">
        <w:rPr>
          <w:rFonts w:ascii="Times New Roman" w:hAnsi="Times New Roman" w:cs="Times New Roman"/>
        </w:rPr>
        <w:t>vârste</w:t>
      </w:r>
      <w:proofErr w:type="spellEnd"/>
      <w:r w:rsidRPr="005D6C46">
        <w:rPr>
          <w:rFonts w:ascii="Times New Roman" w:hAnsi="Times New Roman" w:cs="Times New Roman"/>
        </w:rPr>
        <w:t xml:space="preserve"> </w:t>
      </w:r>
      <w:proofErr w:type="spellStart"/>
      <w:r w:rsidRPr="005D6C46">
        <w:rPr>
          <w:rFonts w:ascii="Times New Roman" w:hAnsi="Times New Roman" w:cs="Times New Roman"/>
        </w:rPr>
        <w:t>cuprinse</w:t>
      </w:r>
      <w:proofErr w:type="spellEnd"/>
      <w:r w:rsidRPr="005D6C46">
        <w:rPr>
          <w:rFonts w:ascii="Times New Roman" w:hAnsi="Times New Roman" w:cs="Times New Roman"/>
        </w:rPr>
        <w:t xml:space="preserve"> </w:t>
      </w:r>
      <w:proofErr w:type="spellStart"/>
      <w:r w:rsidRPr="005D6C46">
        <w:rPr>
          <w:rFonts w:ascii="Times New Roman" w:hAnsi="Times New Roman" w:cs="Times New Roman"/>
        </w:rPr>
        <w:t>între</w:t>
      </w:r>
      <w:proofErr w:type="spellEnd"/>
      <w:r w:rsidRPr="005D6C46">
        <w:rPr>
          <w:rFonts w:ascii="Times New Roman" w:hAnsi="Times New Roman" w:cs="Times New Roman"/>
        </w:rPr>
        <w:t xml:space="preserve"> 5 </w:t>
      </w:r>
      <w:proofErr w:type="spellStart"/>
      <w:r w:rsidRPr="005D6C46">
        <w:rPr>
          <w:rFonts w:ascii="Times New Roman" w:hAnsi="Times New Roman" w:cs="Times New Roman"/>
        </w:rPr>
        <w:t>și</w:t>
      </w:r>
      <w:proofErr w:type="spellEnd"/>
      <w:r w:rsidRPr="005D6C46">
        <w:rPr>
          <w:rFonts w:ascii="Times New Roman" w:hAnsi="Times New Roman" w:cs="Times New Roman"/>
        </w:rPr>
        <w:t xml:space="preserve"> 14 ani. Din </w:t>
      </w:r>
      <w:proofErr w:type="spellStart"/>
      <w:r w:rsidRPr="005D6C46">
        <w:rPr>
          <w:rFonts w:ascii="Times New Roman" w:hAnsi="Times New Roman" w:cs="Times New Roman"/>
        </w:rPr>
        <w:t>fericire</w:t>
      </w:r>
      <w:proofErr w:type="spellEnd"/>
      <w:r w:rsidRPr="005D6C46">
        <w:rPr>
          <w:rFonts w:ascii="Times New Roman" w:hAnsi="Times New Roman" w:cs="Times New Roman"/>
        </w:rPr>
        <w:t xml:space="preserve"> </w:t>
      </w:r>
      <w:proofErr w:type="spellStart"/>
      <w:r w:rsidRPr="005D6C46">
        <w:rPr>
          <w:rFonts w:ascii="Times New Roman" w:hAnsi="Times New Roman" w:cs="Times New Roman"/>
        </w:rPr>
        <w:t>formele</w:t>
      </w:r>
      <w:proofErr w:type="spellEnd"/>
      <w:r w:rsidRPr="005D6C46">
        <w:rPr>
          <w:rFonts w:ascii="Times New Roman" w:hAnsi="Times New Roman" w:cs="Times New Roman"/>
        </w:rPr>
        <w:t xml:space="preserve"> de </w:t>
      </w:r>
      <w:proofErr w:type="spellStart"/>
      <w:r w:rsidRPr="005D6C46">
        <w:rPr>
          <w:rFonts w:ascii="Times New Roman" w:hAnsi="Times New Roman" w:cs="Times New Roman"/>
        </w:rPr>
        <w:t>boală</w:t>
      </w:r>
      <w:proofErr w:type="spellEnd"/>
      <w:r w:rsidRPr="005D6C46">
        <w:rPr>
          <w:rFonts w:ascii="Times New Roman" w:hAnsi="Times New Roman" w:cs="Times New Roman"/>
        </w:rPr>
        <w:t xml:space="preserve"> au </w:t>
      </w:r>
      <w:proofErr w:type="spellStart"/>
      <w:r w:rsidRPr="005D6C46">
        <w:rPr>
          <w:rFonts w:ascii="Times New Roman" w:hAnsi="Times New Roman" w:cs="Times New Roman"/>
        </w:rPr>
        <w:t>fost</w:t>
      </w:r>
      <w:proofErr w:type="spellEnd"/>
      <w:r w:rsidRPr="005D6C46">
        <w:rPr>
          <w:rFonts w:ascii="Times New Roman" w:hAnsi="Times New Roman" w:cs="Times New Roman"/>
        </w:rPr>
        <w:t xml:space="preserve"> </w:t>
      </w:r>
      <w:proofErr w:type="spellStart"/>
      <w:r w:rsidRPr="005D6C46">
        <w:rPr>
          <w:rFonts w:ascii="Times New Roman" w:hAnsi="Times New Roman" w:cs="Times New Roman"/>
        </w:rPr>
        <w:t>ușoare</w:t>
      </w:r>
      <w:proofErr w:type="spellEnd"/>
      <w:r w:rsidRPr="005D6C46">
        <w:rPr>
          <w:rFonts w:ascii="Times New Roman" w:hAnsi="Times New Roman" w:cs="Times New Roman"/>
        </w:rPr>
        <w:t xml:space="preserve">, </w:t>
      </w:r>
      <w:proofErr w:type="spellStart"/>
      <w:r w:rsidRPr="005D6C46">
        <w:rPr>
          <w:rFonts w:ascii="Times New Roman" w:hAnsi="Times New Roman" w:cs="Times New Roman"/>
        </w:rPr>
        <w:t>procentul</w:t>
      </w:r>
      <w:proofErr w:type="spellEnd"/>
      <w:r w:rsidRPr="005D6C46">
        <w:rPr>
          <w:rFonts w:ascii="Times New Roman" w:hAnsi="Times New Roman" w:cs="Times New Roman"/>
        </w:rPr>
        <w:t xml:space="preserve"> de </w:t>
      </w:r>
      <w:proofErr w:type="spellStart"/>
      <w:r w:rsidRPr="005D6C46">
        <w:rPr>
          <w:rFonts w:ascii="Times New Roman" w:hAnsi="Times New Roman" w:cs="Times New Roman"/>
        </w:rPr>
        <w:t>internări</w:t>
      </w:r>
      <w:proofErr w:type="spellEnd"/>
      <w:r w:rsidRPr="005D6C46">
        <w:rPr>
          <w:rFonts w:ascii="Times New Roman" w:hAnsi="Times New Roman" w:cs="Times New Roman"/>
        </w:rPr>
        <w:t xml:space="preserve"> </w:t>
      </w:r>
      <w:proofErr w:type="spellStart"/>
      <w:r w:rsidRPr="005D6C46">
        <w:rPr>
          <w:rFonts w:ascii="Times New Roman" w:hAnsi="Times New Roman" w:cs="Times New Roman"/>
        </w:rPr>
        <w:t>fiind</w:t>
      </w:r>
      <w:proofErr w:type="spellEnd"/>
      <w:r w:rsidRPr="005D6C46">
        <w:rPr>
          <w:rFonts w:ascii="Times New Roman" w:hAnsi="Times New Roman" w:cs="Times New Roman"/>
        </w:rPr>
        <w:t xml:space="preserve"> de </w:t>
      </w:r>
      <w:proofErr w:type="spellStart"/>
      <w:r w:rsidRPr="005D6C46">
        <w:rPr>
          <w:rFonts w:ascii="Times New Roman" w:hAnsi="Times New Roman" w:cs="Times New Roman"/>
        </w:rPr>
        <w:t>doar</w:t>
      </w:r>
      <w:proofErr w:type="spellEnd"/>
      <w:r w:rsidRPr="005D6C46">
        <w:rPr>
          <w:rFonts w:ascii="Times New Roman" w:hAnsi="Times New Roman" w:cs="Times New Roman"/>
        </w:rPr>
        <w:t xml:space="preserve"> 2,25%.</w:t>
      </w:r>
      <w:r w:rsidR="00180E4A" w:rsidRPr="005D6C46">
        <w:rPr>
          <w:rFonts w:ascii="Times New Roman" w:hAnsi="Times New Roman" w:cs="Times New Roman"/>
        </w:rPr>
        <w:br/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511"/>
        <w:gridCol w:w="1091"/>
        <w:gridCol w:w="1054"/>
        <w:gridCol w:w="1084"/>
        <w:gridCol w:w="1084"/>
        <w:gridCol w:w="1084"/>
        <w:gridCol w:w="1054"/>
        <w:gridCol w:w="1054"/>
      </w:tblGrid>
      <w:tr w:rsidR="00180E4A" w:rsidRPr="009053C2" w14:paraId="4F5C2EE8" w14:textId="77777777" w:rsidTr="00081F03">
        <w:tc>
          <w:tcPr>
            <w:tcW w:w="1511" w:type="dxa"/>
          </w:tcPr>
          <w:p w14:paraId="0BF73937" w14:textId="77777777" w:rsidR="00180E4A" w:rsidRPr="009053C2" w:rsidRDefault="00180E4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IACRS</w:t>
            </w:r>
          </w:p>
        </w:tc>
        <w:tc>
          <w:tcPr>
            <w:tcW w:w="1091" w:type="dxa"/>
          </w:tcPr>
          <w:p w14:paraId="265AA70F" w14:textId="77777777" w:rsidR="00180E4A" w:rsidRPr="009053C2" w:rsidRDefault="00180E4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54" w:type="dxa"/>
          </w:tcPr>
          <w:p w14:paraId="7EC7A723" w14:textId="77777777" w:rsidR="00180E4A" w:rsidRPr="009053C2" w:rsidRDefault="00180E4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084" w:type="dxa"/>
          </w:tcPr>
          <w:p w14:paraId="4C63EEDD" w14:textId="77777777" w:rsidR="00180E4A" w:rsidRPr="009053C2" w:rsidRDefault="00180E4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084" w:type="dxa"/>
          </w:tcPr>
          <w:p w14:paraId="30CF6595" w14:textId="77777777" w:rsidR="00180E4A" w:rsidRPr="009053C2" w:rsidRDefault="00180E4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5-14</w:t>
            </w:r>
          </w:p>
        </w:tc>
        <w:tc>
          <w:tcPr>
            <w:tcW w:w="1084" w:type="dxa"/>
          </w:tcPr>
          <w:p w14:paraId="1F78E20B" w14:textId="77777777" w:rsidR="00180E4A" w:rsidRPr="009053C2" w:rsidRDefault="00180E4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15-49</w:t>
            </w:r>
          </w:p>
        </w:tc>
        <w:tc>
          <w:tcPr>
            <w:tcW w:w="1054" w:type="dxa"/>
          </w:tcPr>
          <w:p w14:paraId="7B847C76" w14:textId="77777777" w:rsidR="00180E4A" w:rsidRPr="009053C2" w:rsidRDefault="00180E4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50-64</w:t>
            </w:r>
          </w:p>
        </w:tc>
        <w:tc>
          <w:tcPr>
            <w:tcW w:w="1054" w:type="dxa"/>
          </w:tcPr>
          <w:p w14:paraId="24A7AB1D" w14:textId="77777777" w:rsidR="00180E4A" w:rsidRPr="009053C2" w:rsidRDefault="00180E4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&gt;65</w:t>
            </w:r>
          </w:p>
        </w:tc>
      </w:tr>
      <w:tr w:rsidR="00180E4A" w:rsidRPr="009053C2" w14:paraId="7520A24B" w14:textId="77777777" w:rsidTr="00081F03">
        <w:tc>
          <w:tcPr>
            <w:tcW w:w="1511" w:type="dxa"/>
          </w:tcPr>
          <w:p w14:paraId="1E805D0A" w14:textId="77777777" w:rsidR="00180E4A" w:rsidRPr="009053C2" w:rsidRDefault="00180E4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91" w:type="dxa"/>
          </w:tcPr>
          <w:p w14:paraId="3D7E0B8B" w14:textId="5174CA7A" w:rsidR="00180E4A" w:rsidRPr="009053C2" w:rsidRDefault="00180E4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643</w:t>
            </w:r>
          </w:p>
        </w:tc>
        <w:tc>
          <w:tcPr>
            <w:tcW w:w="1054" w:type="dxa"/>
          </w:tcPr>
          <w:p w14:paraId="278DB534" w14:textId="714E725F" w:rsidR="00180E4A" w:rsidRPr="009053C2" w:rsidRDefault="00180E4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 w:rsidR="00F65E8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84" w:type="dxa"/>
          </w:tcPr>
          <w:p w14:paraId="026D6057" w14:textId="2E5E9A77" w:rsidR="00180E4A" w:rsidRPr="009053C2" w:rsidRDefault="00F65E85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1084" w:type="dxa"/>
          </w:tcPr>
          <w:p w14:paraId="391591EB" w14:textId="140488A9" w:rsidR="00180E4A" w:rsidRPr="009053C2" w:rsidRDefault="00F65E85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80E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84" w:type="dxa"/>
          </w:tcPr>
          <w:p w14:paraId="0B8BB393" w14:textId="388917B3" w:rsidR="00180E4A" w:rsidRPr="009053C2" w:rsidRDefault="00F65E85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1054" w:type="dxa"/>
          </w:tcPr>
          <w:p w14:paraId="0974D8A9" w14:textId="0A90144E" w:rsidR="00180E4A" w:rsidRPr="009053C2" w:rsidRDefault="00180E4A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5E8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4" w:type="dxa"/>
          </w:tcPr>
          <w:p w14:paraId="62A87F18" w14:textId="77777777" w:rsidR="00180E4A" w:rsidRPr="009053C2" w:rsidRDefault="00180E4A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180E4A" w:rsidRPr="009053C2" w14:paraId="3AAA0F62" w14:textId="77777777" w:rsidTr="00081F03">
        <w:tc>
          <w:tcPr>
            <w:tcW w:w="1511" w:type="dxa"/>
          </w:tcPr>
          <w:p w14:paraId="7FFF0AA2" w14:textId="77777777" w:rsidR="00180E4A" w:rsidRPr="009053C2" w:rsidRDefault="00180E4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INTERNARI</w:t>
            </w:r>
          </w:p>
        </w:tc>
        <w:tc>
          <w:tcPr>
            <w:tcW w:w="1091" w:type="dxa"/>
          </w:tcPr>
          <w:p w14:paraId="7647DE90" w14:textId="7B9E63E5" w:rsidR="00180E4A" w:rsidRPr="009053C2" w:rsidRDefault="00180E4A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54" w:type="dxa"/>
          </w:tcPr>
          <w:p w14:paraId="3E3221F0" w14:textId="6CFBB4B5" w:rsidR="00180E4A" w:rsidRPr="009053C2" w:rsidRDefault="00180E4A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5E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4" w:type="dxa"/>
          </w:tcPr>
          <w:p w14:paraId="244CD61F" w14:textId="77777777" w:rsidR="00180E4A" w:rsidRPr="009053C2" w:rsidRDefault="00180E4A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4" w:type="dxa"/>
          </w:tcPr>
          <w:p w14:paraId="32BF2640" w14:textId="260BC509" w:rsidR="00180E4A" w:rsidRPr="009053C2" w:rsidRDefault="00F65E85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4" w:type="dxa"/>
          </w:tcPr>
          <w:p w14:paraId="6A2B278F" w14:textId="1ED4A04A" w:rsidR="00180E4A" w:rsidRPr="009053C2" w:rsidRDefault="00F65E85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</w:tcPr>
          <w:p w14:paraId="14998FA3" w14:textId="77777777" w:rsidR="00180E4A" w:rsidRPr="009053C2" w:rsidRDefault="00180E4A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62282F43" w14:textId="77777777" w:rsidR="00180E4A" w:rsidRPr="009053C2" w:rsidRDefault="00180E4A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80E4A" w:rsidRPr="009053C2" w14:paraId="3BAC53B2" w14:textId="77777777" w:rsidTr="00081F03">
        <w:tc>
          <w:tcPr>
            <w:tcW w:w="1511" w:type="dxa"/>
          </w:tcPr>
          <w:p w14:paraId="291CE79D" w14:textId="77777777" w:rsidR="00180E4A" w:rsidRPr="009053C2" w:rsidRDefault="00180E4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DECESE</w:t>
            </w:r>
          </w:p>
        </w:tc>
        <w:tc>
          <w:tcPr>
            <w:tcW w:w="1091" w:type="dxa"/>
          </w:tcPr>
          <w:p w14:paraId="54EE30AD" w14:textId="77777777" w:rsidR="00180E4A" w:rsidRPr="009053C2" w:rsidRDefault="00180E4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50CE30FE" w14:textId="77777777" w:rsidR="00180E4A" w:rsidRPr="009053C2" w:rsidRDefault="00180E4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113A5971" w14:textId="77777777" w:rsidR="00180E4A" w:rsidRPr="009053C2" w:rsidRDefault="00180E4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0685FD60" w14:textId="77777777" w:rsidR="00180E4A" w:rsidRPr="009053C2" w:rsidRDefault="00180E4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5D55FDA0" w14:textId="77777777" w:rsidR="00180E4A" w:rsidRPr="009053C2" w:rsidRDefault="00180E4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46EFD457" w14:textId="77777777" w:rsidR="00180E4A" w:rsidRPr="009053C2" w:rsidRDefault="00180E4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79B1F90D" w14:textId="77777777" w:rsidR="00180E4A" w:rsidRPr="009053C2" w:rsidRDefault="00180E4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</w:tr>
      <w:tr w:rsidR="00180E4A" w:rsidRPr="009053C2" w14:paraId="237C08D6" w14:textId="77777777" w:rsidTr="00081F03">
        <w:tc>
          <w:tcPr>
            <w:tcW w:w="1511" w:type="dxa"/>
          </w:tcPr>
          <w:p w14:paraId="5D13A3C3" w14:textId="77777777" w:rsidR="00180E4A" w:rsidRPr="009053C2" w:rsidRDefault="00180E4A" w:rsidP="00081F03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91" w:type="dxa"/>
          </w:tcPr>
          <w:p w14:paraId="557E5059" w14:textId="02F9E8F3" w:rsidR="00180E4A" w:rsidRPr="009053C2" w:rsidRDefault="00180E4A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  <w:r w:rsidR="00BB219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4" w:type="dxa"/>
          </w:tcPr>
          <w:p w14:paraId="69DD3E5F" w14:textId="6E1C2523" w:rsidR="00180E4A" w:rsidRPr="009053C2" w:rsidRDefault="00BB2192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9,06</w:t>
            </w:r>
            <w:r w:rsidR="00180E4A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14:paraId="67AEACC2" w14:textId="2A9164FD" w:rsidR="00180E4A" w:rsidRPr="009053C2" w:rsidRDefault="00BB2192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20,26</w:t>
            </w:r>
            <w:r w:rsidR="00180E4A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14:paraId="33267E0C" w14:textId="154EF175" w:rsidR="00180E4A" w:rsidRPr="009053C2" w:rsidRDefault="00BB2192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32,56</w:t>
            </w:r>
            <w:r w:rsidR="00180E4A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14:paraId="66BE5797" w14:textId="5FE8E710" w:rsidR="00180E4A" w:rsidRPr="009053C2" w:rsidRDefault="00BB2192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21,42</w:t>
            </w:r>
            <w:r w:rsidR="00180E4A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4" w:type="dxa"/>
          </w:tcPr>
          <w:p w14:paraId="2F3335C4" w14:textId="4D32E1DA" w:rsidR="00180E4A" w:rsidRPr="009053C2" w:rsidRDefault="00BB2192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11,50</w:t>
            </w:r>
            <w:r w:rsidR="00180E4A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4" w:type="dxa"/>
          </w:tcPr>
          <w:p w14:paraId="5AA267FC" w14:textId="25948F27" w:rsidR="00180E4A" w:rsidRPr="009053C2" w:rsidRDefault="00BB2192" w:rsidP="0008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5,17</w:t>
            </w:r>
            <w:r w:rsidR="00180E4A" w:rsidRPr="009053C2">
              <w:rPr>
                <w:rFonts w:ascii="Times New Roman" w:hAnsi="Times New Roman" w:cs="Times New Roman"/>
              </w:rPr>
              <w:t>%</w:t>
            </w:r>
          </w:p>
        </w:tc>
      </w:tr>
    </w:tbl>
    <w:p w14:paraId="1212C515" w14:textId="77777777" w:rsidR="00180E4A" w:rsidRDefault="00180E4A"/>
    <w:p w14:paraId="0BABCAD8" w14:textId="0EEF4781" w:rsidR="00180E4A" w:rsidRDefault="00CF25B2" w:rsidP="00202BD5">
      <w:pPr>
        <w:jc w:val="both"/>
        <w:rPr>
          <w:rFonts w:ascii="Times New Roman" w:hAnsi="Times New Roman" w:cs="Times New Roman"/>
        </w:rPr>
      </w:pPr>
      <w:proofErr w:type="spellStart"/>
      <w:r w:rsidRPr="00D03702">
        <w:rPr>
          <w:rFonts w:ascii="Times New Roman" w:hAnsi="Times New Roman" w:cs="Times New Roman"/>
        </w:rPr>
        <w:t>Numărul</w:t>
      </w:r>
      <w:proofErr w:type="spellEnd"/>
      <w:r w:rsidRPr="00D03702">
        <w:rPr>
          <w:rFonts w:ascii="Times New Roman" w:hAnsi="Times New Roman" w:cs="Times New Roman"/>
        </w:rPr>
        <w:t xml:space="preserve"> </w:t>
      </w:r>
      <w:proofErr w:type="spellStart"/>
      <w:r w:rsidRPr="00D03702">
        <w:rPr>
          <w:rFonts w:ascii="Times New Roman" w:hAnsi="Times New Roman" w:cs="Times New Roman"/>
        </w:rPr>
        <w:t>pneumopatiilor</w:t>
      </w:r>
      <w:proofErr w:type="spellEnd"/>
      <w:r w:rsidRPr="00D03702">
        <w:rPr>
          <w:rFonts w:ascii="Times New Roman" w:hAnsi="Times New Roman" w:cs="Times New Roman"/>
        </w:rPr>
        <w:t xml:space="preserve"> a </w:t>
      </w:r>
      <w:proofErr w:type="spellStart"/>
      <w:r w:rsidRPr="00D03702">
        <w:rPr>
          <w:rFonts w:ascii="Times New Roman" w:hAnsi="Times New Roman" w:cs="Times New Roman"/>
        </w:rPr>
        <w:t>crescut</w:t>
      </w:r>
      <w:proofErr w:type="spellEnd"/>
      <w:r w:rsidRPr="00D03702">
        <w:rPr>
          <w:rFonts w:ascii="Times New Roman" w:hAnsi="Times New Roman" w:cs="Times New Roman"/>
        </w:rPr>
        <w:t xml:space="preserve"> </w:t>
      </w:r>
      <w:proofErr w:type="spellStart"/>
      <w:r w:rsidRPr="00D03702">
        <w:rPr>
          <w:rFonts w:ascii="Times New Roman" w:hAnsi="Times New Roman" w:cs="Times New Roman"/>
        </w:rPr>
        <w:t>ușor</w:t>
      </w:r>
      <w:proofErr w:type="spellEnd"/>
      <w:r w:rsidRPr="00D03702">
        <w:rPr>
          <w:rFonts w:ascii="Times New Roman" w:hAnsi="Times New Roman" w:cs="Times New Roman"/>
        </w:rPr>
        <w:t xml:space="preserve"> </w:t>
      </w:r>
      <w:proofErr w:type="spellStart"/>
      <w:r w:rsidRPr="00D03702">
        <w:rPr>
          <w:rFonts w:ascii="Times New Roman" w:hAnsi="Times New Roman" w:cs="Times New Roman"/>
        </w:rPr>
        <w:t>comparativ</w:t>
      </w:r>
      <w:proofErr w:type="spellEnd"/>
      <w:r w:rsidRPr="00D03702">
        <w:rPr>
          <w:rFonts w:ascii="Times New Roman" w:hAnsi="Times New Roman" w:cs="Times New Roman"/>
        </w:rPr>
        <w:t xml:space="preserve"> cu </w:t>
      </w:r>
      <w:proofErr w:type="spellStart"/>
      <w:r w:rsidRPr="00D03702">
        <w:rPr>
          <w:rFonts w:ascii="Times New Roman" w:hAnsi="Times New Roman" w:cs="Times New Roman"/>
        </w:rPr>
        <w:t>săptămâna</w:t>
      </w:r>
      <w:proofErr w:type="spellEnd"/>
      <w:r w:rsidRPr="00D03702">
        <w:rPr>
          <w:rFonts w:ascii="Times New Roman" w:hAnsi="Times New Roman" w:cs="Times New Roman"/>
        </w:rPr>
        <w:t xml:space="preserve"> 10-16.11.2025</w:t>
      </w:r>
      <w:r w:rsidR="008B20C8">
        <w:rPr>
          <w:rFonts w:ascii="Times New Roman" w:hAnsi="Times New Roman" w:cs="Times New Roman"/>
        </w:rPr>
        <w:t>.</w:t>
      </w:r>
      <w:r w:rsidRPr="00D03702">
        <w:rPr>
          <w:rFonts w:ascii="Times New Roman" w:hAnsi="Times New Roman" w:cs="Times New Roman"/>
        </w:rPr>
        <w:t xml:space="preserve"> Cei </w:t>
      </w:r>
      <w:proofErr w:type="spellStart"/>
      <w:r w:rsidRPr="00D03702">
        <w:rPr>
          <w:rFonts w:ascii="Times New Roman" w:hAnsi="Times New Roman" w:cs="Times New Roman"/>
        </w:rPr>
        <w:t>mai</w:t>
      </w:r>
      <w:proofErr w:type="spellEnd"/>
      <w:r w:rsidRPr="00D03702">
        <w:rPr>
          <w:rFonts w:ascii="Times New Roman" w:hAnsi="Times New Roman" w:cs="Times New Roman"/>
        </w:rPr>
        <w:t xml:space="preserve"> </w:t>
      </w:r>
      <w:proofErr w:type="spellStart"/>
      <w:r w:rsidRPr="00D03702">
        <w:rPr>
          <w:rFonts w:ascii="Times New Roman" w:hAnsi="Times New Roman" w:cs="Times New Roman"/>
        </w:rPr>
        <w:t>afectați</w:t>
      </w:r>
      <w:proofErr w:type="spellEnd"/>
      <w:r w:rsidRPr="00D03702">
        <w:rPr>
          <w:rFonts w:ascii="Times New Roman" w:hAnsi="Times New Roman" w:cs="Times New Roman"/>
        </w:rPr>
        <w:t xml:space="preserve"> au </w:t>
      </w:r>
      <w:proofErr w:type="spellStart"/>
      <w:r w:rsidRPr="00D03702">
        <w:rPr>
          <w:rFonts w:ascii="Times New Roman" w:hAnsi="Times New Roman" w:cs="Times New Roman"/>
        </w:rPr>
        <w:t>fost</w:t>
      </w:r>
      <w:proofErr w:type="spellEnd"/>
      <w:r w:rsidRPr="00D03702">
        <w:rPr>
          <w:rFonts w:ascii="Times New Roman" w:hAnsi="Times New Roman" w:cs="Times New Roman"/>
        </w:rPr>
        <w:t xml:space="preserve"> </w:t>
      </w:r>
      <w:proofErr w:type="spellStart"/>
      <w:r w:rsidRPr="00D03702">
        <w:rPr>
          <w:rFonts w:ascii="Times New Roman" w:hAnsi="Times New Roman" w:cs="Times New Roman"/>
        </w:rPr>
        <w:t>copiii</w:t>
      </w:r>
      <w:proofErr w:type="spellEnd"/>
      <w:r w:rsidRPr="00D03702">
        <w:rPr>
          <w:rFonts w:ascii="Times New Roman" w:hAnsi="Times New Roman" w:cs="Times New Roman"/>
        </w:rPr>
        <w:t xml:space="preserve"> </w:t>
      </w:r>
      <w:proofErr w:type="spellStart"/>
      <w:r w:rsidRPr="00D03702">
        <w:rPr>
          <w:rFonts w:ascii="Times New Roman" w:hAnsi="Times New Roman" w:cs="Times New Roman"/>
        </w:rPr>
        <w:t>și</w:t>
      </w:r>
      <w:proofErr w:type="spellEnd"/>
      <w:r w:rsidRPr="00D03702">
        <w:rPr>
          <w:rFonts w:ascii="Times New Roman" w:hAnsi="Times New Roman" w:cs="Times New Roman"/>
        </w:rPr>
        <w:t xml:space="preserve"> </w:t>
      </w:r>
      <w:proofErr w:type="spellStart"/>
      <w:r w:rsidRPr="00D03702">
        <w:rPr>
          <w:rFonts w:ascii="Times New Roman" w:hAnsi="Times New Roman" w:cs="Times New Roman"/>
        </w:rPr>
        <w:t>persoanele</w:t>
      </w:r>
      <w:proofErr w:type="spellEnd"/>
      <w:r w:rsidRPr="00D03702">
        <w:rPr>
          <w:rFonts w:ascii="Times New Roman" w:hAnsi="Times New Roman" w:cs="Times New Roman"/>
        </w:rPr>
        <w:t xml:space="preserve"> de </w:t>
      </w:r>
      <w:proofErr w:type="spellStart"/>
      <w:r w:rsidRPr="00D03702">
        <w:rPr>
          <w:rFonts w:ascii="Times New Roman" w:hAnsi="Times New Roman" w:cs="Times New Roman"/>
        </w:rPr>
        <w:t>vârsta</w:t>
      </w:r>
      <w:proofErr w:type="spellEnd"/>
      <w:r w:rsidRPr="00D03702">
        <w:rPr>
          <w:rFonts w:ascii="Times New Roman" w:hAnsi="Times New Roman" w:cs="Times New Roman"/>
        </w:rPr>
        <w:t xml:space="preserve"> a </w:t>
      </w:r>
      <w:proofErr w:type="spellStart"/>
      <w:r w:rsidRPr="00D03702">
        <w:rPr>
          <w:rFonts w:ascii="Times New Roman" w:hAnsi="Times New Roman" w:cs="Times New Roman"/>
        </w:rPr>
        <w:t>treia</w:t>
      </w:r>
      <w:proofErr w:type="spellEnd"/>
      <w:r w:rsidRPr="00D03702">
        <w:rPr>
          <w:rFonts w:ascii="Times New Roman" w:hAnsi="Times New Roman" w:cs="Times New Roman"/>
        </w:rPr>
        <w:t xml:space="preserve">. </w:t>
      </w:r>
      <w:proofErr w:type="spellStart"/>
      <w:r w:rsidRPr="00D03702">
        <w:rPr>
          <w:rFonts w:ascii="Times New Roman" w:hAnsi="Times New Roman" w:cs="Times New Roman"/>
        </w:rPr>
        <w:t>În</w:t>
      </w:r>
      <w:proofErr w:type="spellEnd"/>
      <w:r w:rsidRPr="00D03702">
        <w:rPr>
          <w:rFonts w:ascii="Times New Roman" w:hAnsi="Times New Roman" w:cs="Times New Roman"/>
        </w:rPr>
        <w:t xml:space="preserve"> 163 din </w:t>
      </w:r>
      <w:proofErr w:type="spellStart"/>
      <w:r w:rsidRPr="00D03702">
        <w:rPr>
          <w:rFonts w:ascii="Times New Roman" w:hAnsi="Times New Roman" w:cs="Times New Roman"/>
        </w:rPr>
        <w:t>cele</w:t>
      </w:r>
      <w:proofErr w:type="spellEnd"/>
      <w:r w:rsidRPr="00D03702">
        <w:rPr>
          <w:rFonts w:ascii="Times New Roman" w:hAnsi="Times New Roman" w:cs="Times New Roman"/>
        </w:rPr>
        <w:t xml:space="preserve"> 402 </w:t>
      </w:r>
      <w:proofErr w:type="spellStart"/>
      <w:r w:rsidRPr="00D03702">
        <w:rPr>
          <w:rFonts w:ascii="Times New Roman" w:hAnsi="Times New Roman" w:cs="Times New Roman"/>
        </w:rPr>
        <w:t>cazuri</w:t>
      </w:r>
      <w:proofErr w:type="spellEnd"/>
      <w:r w:rsidRPr="00D03702">
        <w:rPr>
          <w:rFonts w:ascii="Times New Roman" w:hAnsi="Times New Roman" w:cs="Times New Roman"/>
        </w:rPr>
        <w:t xml:space="preserve"> a </w:t>
      </w:r>
      <w:proofErr w:type="spellStart"/>
      <w:r w:rsidRPr="00D03702">
        <w:rPr>
          <w:rFonts w:ascii="Times New Roman" w:hAnsi="Times New Roman" w:cs="Times New Roman"/>
        </w:rPr>
        <w:t>fost</w:t>
      </w:r>
      <w:proofErr w:type="spellEnd"/>
      <w:r w:rsidRPr="00D03702">
        <w:rPr>
          <w:rFonts w:ascii="Times New Roman" w:hAnsi="Times New Roman" w:cs="Times New Roman"/>
        </w:rPr>
        <w:t xml:space="preserve"> </w:t>
      </w:r>
      <w:proofErr w:type="spellStart"/>
      <w:r w:rsidRPr="00D03702">
        <w:rPr>
          <w:rFonts w:ascii="Times New Roman" w:hAnsi="Times New Roman" w:cs="Times New Roman"/>
        </w:rPr>
        <w:t>nevoie</w:t>
      </w:r>
      <w:proofErr w:type="spellEnd"/>
      <w:r w:rsidRPr="00D03702">
        <w:rPr>
          <w:rFonts w:ascii="Times New Roman" w:hAnsi="Times New Roman" w:cs="Times New Roman"/>
        </w:rPr>
        <w:t xml:space="preserve"> de </w:t>
      </w:r>
      <w:proofErr w:type="spellStart"/>
      <w:r w:rsidRPr="00D03702">
        <w:rPr>
          <w:rFonts w:ascii="Times New Roman" w:hAnsi="Times New Roman" w:cs="Times New Roman"/>
        </w:rPr>
        <w:t>internare</w:t>
      </w:r>
      <w:proofErr w:type="spellEnd"/>
      <w:r w:rsidRPr="00D03702">
        <w:rPr>
          <w:rFonts w:ascii="Times New Roman" w:hAnsi="Times New Roman" w:cs="Times New Roman"/>
        </w:rPr>
        <w:t xml:space="preserve"> </w:t>
      </w:r>
      <w:proofErr w:type="spellStart"/>
      <w:r w:rsidRPr="00D03702">
        <w:rPr>
          <w:rFonts w:ascii="Times New Roman" w:hAnsi="Times New Roman" w:cs="Times New Roman"/>
        </w:rPr>
        <w:t>și</w:t>
      </w:r>
      <w:proofErr w:type="spellEnd"/>
      <w:r w:rsidRPr="00D03702">
        <w:rPr>
          <w:rFonts w:ascii="Times New Roman" w:hAnsi="Times New Roman" w:cs="Times New Roman"/>
        </w:rPr>
        <w:t xml:space="preserve"> </w:t>
      </w:r>
      <w:proofErr w:type="spellStart"/>
      <w:r w:rsidRPr="00D03702">
        <w:rPr>
          <w:rFonts w:ascii="Times New Roman" w:hAnsi="Times New Roman" w:cs="Times New Roman"/>
        </w:rPr>
        <w:t>tratament</w:t>
      </w:r>
      <w:proofErr w:type="spellEnd"/>
      <w:r w:rsidRPr="00D03702">
        <w:rPr>
          <w:rFonts w:ascii="Times New Roman" w:hAnsi="Times New Roman" w:cs="Times New Roman"/>
        </w:rPr>
        <w:t xml:space="preserve"> de </w:t>
      </w:r>
      <w:proofErr w:type="spellStart"/>
      <w:r w:rsidRPr="00D03702">
        <w:rPr>
          <w:rFonts w:ascii="Times New Roman" w:hAnsi="Times New Roman" w:cs="Times New Roman"/>
        </w:rPr>
        <w:t>specialitate</w:t>
      </w:r>
      <w:proofErr w:type="spellEnd"/>
      <w:r w:rsidRPr="00D03702">
        <w:rPr>
          <w:rFonts w:ascii="Times New Roman" w:hAnsi="Times New Roman" w:cs="Times New Roman"/>
        </w:rPr>
        <w:t xml:space="preserve">. </w:t>
      </w:r>
    </w:p>
    <w:p w14:paraId="727676B4" w14:textId="77777777" w:rsidR="00D03702" w:rsidRPr="00D03702" w:rsidRDefault="00D03702" w:rsidP="00202BD5">
      <w:pPr>
        <w:jc w:val="both"/>
        <w:rPr>
          <w:rFonts w:ascii="Times New Roman" w:hAnsi="Times New Roman" w:cs="Times New Roman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795"/>
        <w:gridCol w:w="1037"/>
        <w:gridCol w:w="992"/>
        <w:gridCol w:w="1053"/>
        <w:gridCol w:w="1024"/>
        <w:gridCol w:w="1053"/>
        <w:gridCol w:w="1030"/>
        <w:gridCol w:w="1032"/>
      </w:tblGrid>
      <w:tr w:rsidR="003F2623" w:rsidRPr="009053C2" w14:paraId="7D13E956" w14:textId="77777777" w:rsidTr="00081F03">
        <w:tc>
          <w:tcPr>
            <w:tcW w:w="1795" w:type="dxa"/>
          </w:tcPr>
          <w:p w14:paraId="061BE642" w14:textId="77777777" w:rsidR="00F52995" w:rsidRPr="009053C2" w:rsidRDefault="00F52995" w:rsidP="00081F03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lastRenderedPageBreak/>
              <w:t>PNEUMOPATII</w:t>
            </w:r>
          </w:p>
        </w:tc>
        <w:tc>
          <w:tcPr>
            <w:tcW w:w="1057" w:type="dxa"/>
          </w:tcPr>
          <w:p w14:paraId="775D2F91" w14:textId="77777777" w:rsidR="00F52995" w:rsidRPr="009053C2" w:rsidRDefault="00F52995" w:rsidP="00081F03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03" w:type="dxa"/>
          </w:tcPr>
          <w:p w14:paraId="4CF6B35A" w14:textId="77777777" w:rsidR="00F52995" w:rsidRPr="009053C2" w:rsidRDefault="00F52995" w:rsidP="00081F03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083" w:type="dxa"/>
          </w:tcPr>
          <w:p w14:paraId="2F4B7045" w14:textId="77777777" w:rsidR="00F52995" w:rsidRPr="009053C2" w:rsidRDefault="00F52995" w:rsidP="00081F03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083" w:type="dxa"/>
          </w:tcPr>
          <w:p w14:paraId="7C1EC21B" w14:textId="77777777" w:rsidR="00F52995" w:rsidRPr="009053C2" w:rsidRDefault="00F52995" w:rsidP="00081F03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5-14</w:t>
            </w:r>
          </w:p>
        </w:tc>
        <w:tc>
          <w:tcPr>
            <w:tcW w:w="1083" w:type="dxa"/>
          </w:tcPr>
          <w:p w14:paraId="43098B1B" w14:textId="77777777" w:rsidR="00F52995" w:rsidRPr="009053C2" w:rsidRDefault="00F52995" w:rsidP="00081F03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15-49</w:t>
            </w:r>
          </w:p>
        </w:tc>
        <w:tc>
          <w:tcPr>
            <w:tcW w:w="1056" w:type="dxa"/>
          </w:tcPr>
          <w:p w14:paraId="602A6A0A" w14:textId="77777777" w:rsidR="00F52995" w:rsidRPr="009053C2" w:rsidRDefault="00F52995" w:rsidP="00081F03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50-64</w:t>
            </w:r>
          </w:p>
        </w:tc>
        <w:tc>
          <w:tcPr>
            <w:tcW w:w="1056" w:type="dxa"/>
          </w:tcPr>
          <w:p w14:paraId="5632FCAA" w14:textId="77777777" w:rsidR="00F52995" w:rsidRPr="009053C2" w:rsidRDefault="00F52995" w:rsidP="00081F03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&gt;65</w:t>
            </w:r>
          </w:p>
        </w:tc>
      </w:tr>
      <w:tr w:rsidR="003F2623" w:rsidRPr="009053C2" w14:paraId="2ADC9F15" w14:textId="77777777" w:rsidTr="00081F03">
        <w:tc>
          <w:tcPr>
            <w:tcW w:w="1795" w:type="dxa"/>
          </w:tcPr>
          <w:p w14:paraId="7FEB7170" w14:textId="77777777" w:rsidR="00F52995" w:rsidRPr="009053C2" w:rsidRDefault="00F52995" w:rsidP="00081F03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57" w:type="dxa"/>
          </w:tcPr>
          <w:p w14:paraId="066BD6CB" w14:textId="7EC6B25F" w:rsidR="00F52995" w:rsidRPr="009053C2" w:rsidRDefault="00F52995" w:rsidP="00081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003" w:type="dxa"/>
          </w:tcPr>
          <w:p w14:paraId="721BDC05" w14:textId="77C03DFD" w:rsidR="00F52995" w:rsidRPr="009053C2" w:rsidRDefault="005C6BD2" w:rsidP="00081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529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14:paraId="31D4A773" w14:textId="5B46F168" w:rsidR="00F52995" w:rsidRPr="009053C2" w:rsidRDefault="00966C16" w:rsidP="00081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83" w:type="dxa"/>
          </w:tcPr>
          <w:p w14:paraId="4628B587" w14:textId="5A86A24B" w:rsidR="00F52995" w:rsidRPr="009053C2" w:rsidRDefault="00D92618" w:rsidP="00081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83" w:type="dxa"/>
          </w:tcPr>
          <w:p w14:paraId="22C8D236" w14:textId="4BF89824" w:rsidR="00F52995" w:rsidRPr="009053C2" w:rsidRDefault="005C6BD2" w:rsidP="00081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56" w:type="dxa"/>
          </w:tcPr>
          <w:p w14:paraId="0D35371D" w14:textId="1FF842C9" w:rsidR="00F52995" w:rsidRPr="009053C2" w:rsidRDefault="005C6BD2" w:rsidP="00081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56" w:type="dxa"/>
          </w:tcPr>
          <w:p w14:paraId="4D9010AD" w14:textId="25B96C7C" w:rsidR="00F52995" w:rsidRPr="009053C2" w:rsidRDefault="005C6BD2" w:rsidP="00081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3F2623" w:rsidRPr="009053C2" w14:paraId="3680E0EC" w14:textId="77777777" w:rsidTr="00081F03">
        <w:tc>
          <w:tcPr>
            <w:tcW w:w="1795" w:type="dxa"/>
          </w:tcPr>
          <w:p w14:paraId="6CCFA11F" w14:textId="77777777" w:rsidR="00F52995" w:rsidRPr="009053C2" w:rsidRDefault="00F52995" w:rsidP="00081F03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INTERNARI</w:t>
            </w:r>
          </w:p>
        </w:tc>
        <w:tc>
          <w:tcPr>
            <w:tcW w:w="1057" w:type="dxa"/>
          </w:tcPr>
          <w:p w14:paraId="746520D0" w14:textId="44B548E6" w:rsidR="00F52995" w:rsidRPr="009053C2" w:rsidRDefault="00F52995" w:rsidP="00081F03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03" w:type="dxa"/>
          </w:tcPr>
          <w:p w14:paraId="66A8C3D2" w14:textId="0233A6A0" w:rsidR="00F52995" w:rsidRPr="009053C2" w:rsidRDefault="005C6BD2" w:rsidP="00081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52995" w:rsidRPr="00905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14:paraId="736D3DA8" w14:textId="014782A2" w:rsidR="00F52995" w:rsidRPr="009053C2" w:rsidRDefault="00966C16" w:rsidP="00081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83" w:type="dxa"/>
          </w:tcPr>
          <w:p w14:paraId="40E3453A" w14:textId="5CCBF333" w:rsidR="00F52995" w:rsidRPr="009053C2" w:rsidRDefault="00D92618" w:rsidP="00081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3" w:type="dxa"/>
          </w:tcPr>
          <w:p w14:paraId="69E38AD3" w14:textId="3AB431D5" w:rsidR="00F52995" w:rsidRPr="009053C2" w:rsidRDefault="00F52995" w:rsidP="00081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C6B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6" w:type="dxa"/>
          </w:tcPr>
          <w:p w14:paraId="5951A8CD" w14:textId="70E1E110" w:rsidR="00F52995" w:rsidRPr="009053C2" w:rsidRDefault="005C6BD2" w:rsidP="00081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56" w:type="dxa"/>
          </w:tcPr>
          <w:p w14:paraId="2CC5ACBF" w14:textId="0C4866AF" w:rsidR="00F52995" w:rsidRPr="009053C2" w:rsidRDefault="005C6BD2" w:rsidP="00081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3F2623" w:rsidRPr="009053C2" w14:paraId="46010D29" w14:textId="77777777" w:rsidTr="00081F03">
        <w:tc>
          <w:tcPr>
            <w:tcW w:w="1795" w:type="dxa"/>
          </w:tcPr>
          <w:p w14:paraId="094186CB" w14:textId="77777777" w:rsidR="00F52995" w:rsidRPr="009053C2" w:rsidRDefault="00F52995" w:rsidP="00081F03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DECESE</w:t>
            </w:r>
          </w:p>
        </w:tc>
        <w:tc>
          <w:tcPr>
            <w:tcW w:w="1057" w:type="dxa"/>
          </w:tcPr>
          <w:p w14:paraId="31DCD10B" w14:textId="21C117C8" w:rsidR="00F52995" w:rsidRPr="009053C2" w:rsidRDefault="005C6BD2" w:rsidP="00081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3" w:type="dxa"/>
          </w:tcPr>
          <w:p w14:paraId="7F4C6EC8" w14:textId="77777777" w:rsidR="00F52995" w:rsidRPr="009053C2" w:rsidRDefault="00F52995" w:rsidP="00081F03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</w:tcPr>
          <w:p w14:paraId="3242DC0D" w14:textId="77777777" w:rsidR="00F52995" w:rsidRPr="009053C2" w:rsidRDefault="00F52995" w:rsidP="00081F03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</w:tcPr>
          <w:p w14:paraId="4A00C00E" w14:textId="77777777" w:rsidR="00F52995" w:rsidRPr="009053C2" w:rsidRDefault="00F52995" w:rsidP="00081F03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</w:tcPr>
          <w:p w14:paraId="19D4B10E" w14:textId="77777777" w:rsidR="00F52995" w:rsidRPr="009053C2" w:rsidRDefault="00F52995" w:rsidP="00081F03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</w:tcPr>
          <w:p w14:paraId="0F992302" w14:textId="77777777" w:rsidR="00F52995" w:rsidRPr="009053C2" w:rsidRDefault="00F52995" w:rsidP="00081F03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</w:tcPr>
          <w:p w14:paraId="00E0AAB2" w14:textId="0A53CB20" w:rsidR="00F52995" w:rsidRPr="009053C2" w:rsidRDefault="005C6BD2" w:rsidP="00081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F2623" w:rsidRPr="009053C2" w14:paraId="43741460" w14:textId="77777777" w:rsidTr="00081F03">
        <w:tc>
          <w:tcPr>
            <w:tcW w:w="1795" w:type="dxa"/>
          </w:tcPr>
          <w:p w14:paraId="3162B4F7" w14:textId="77777777" w:rsidR="00F52995" w:rsidRPr="009053C2" w:rsidRDefault="00F52995" w:rsidP="00081F03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7" w:type="dxa"/>
          </w:tcPr>
          <w:p w14:paraId="32C52938" w14:textId="00A44ED5" w:rsidR="00F52995" w:rsidRPr="009053C2" w:rsidRDefault="00F52995" w:rsidP="00081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40,54%</w:t>
            </w:r>
          </w:p>
        </w:tc>
        <w:tc>
          <w:tcPr>
            <w:tcW w:w="1003" w:type="dxa"/>
          </w:tcPr>
          <w:p w14:paraId="50CB19BE" w14:textId="0976FE36" w:rsidR="00F52995" w:rsidRPr="009053C2" w:rsidRDefault="003F2623" w:rsidP="00081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12,68</w:t>
            </w:r>
            <w:r w:rsidR="00F52995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14:paraId="1AA7640B" w14:textId="5E239A5E" w:rsidR="00F52995" w:rsidRPr="009053C2" w:rsidRDefault="003F2623" w:rsidP="00081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19,40</w:t>
            </w:r>
            <w:r w:rsidR="00F52995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14:paraId="22B5C18E" w14:textId="63FF391C" w:rsidR="00F52995" w:rsidRPr="009053C2" w:rsidRDefault="003F2623" w:rsidP="00081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  <w:r w:rsidR="00F52995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14:paraId="31CF29F9" w14:textId="7ED17A47" w:rsidR="00F52995" w:rsidRPr="009053C2" w:rsidRDefault="00F52995" w:rsidP="00081F03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</w:t>
            </w:r>
            <w:r w:rsidR="003F2623">
              <w:rPr>
                <w:rFonts w:ascii="Times New Roman" w:hAnsi="Times New Roman" w:cs="Times New Roman"/>
              </w:rPr>
              <w:t>3,6</w:t>
            </w:r>
            <w:r>
              <w:rPr>
                <w:rFonts w:ascii="Times New Roman" w:hAnsi="Times New Roman" w:cs="Times New Roman"/>
              </w:rPr>
              <w:t>3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6" w:type="dxa"/>
          </w:tcPr>
          <w:p w14:paraId="7389F093" w14:textId="1B8639B0" w:rsidR="00F52995" w:rsidRPr="009053C2" w:rsidRDefault="003F2623" w:rsidP="00081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</w:t>
            </w:r>
            <w:r w:rsidR="00F52995">
              <w:rPr>
                <w:rFonts w:ascii="Times New Roman" w:hAnsi="Times New Roman" w:cs="Times New Roman"/>
              </w:rPr>
              <w:t>19</w:t>
            </w:r>
            <w:r w:rsidR="00F52995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6" w:type="dxa"/>
          </w:tcPr>
          <w:p w14:paraId="0DDF1D4F" w14:textId="3A3ACED8" w:rsidR="00F52995" w:rsidRPr="009053C2" w:rsidRDefault="003F2623" w:rsidP="00081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23,88</w:t>
            </w:r>
            <w:r w:rsidR="00F52995" w:rsidRPr="009053C2">
              <w:rPr>
                <w:rFonts w:ascii="Times New Roman" w:hAnsi="Times New Roman" w:cs="Times New Roman"/>
              </w:rPr>
              <w:t>%</w:t>
            </w:r>
          </w:p>
        </w:tc>
      </w:tr>
    </w:tbl>
    <w:p w14:paraId="1FE4FB10" w14:textId="77777777" w:rsidR="00CF25B2" w:rsidRPr="0056629E" w:rsidRDefault="00CF25B2">
      <w:pPr>
        <w:rPr>
          <w:rFonts w:ascii="Times New Roman" w:hAnsi="Times New Roman" w:cs="Times New Roman"/>
        </w:rPr>
      </w:pPr>
    </w:p>
    <w:p w14:paraId="5BC5A0EE" w14:textId="46CB2CCD" w:rsidR="00CF25B2" w:rsidRPr="0056629E" w:rsidRDefault="00D052B7" w:rsidP="00202BD5">
      <w:pPr>
        <w:jc w:val="both"/>
        <w:rPr>
          <w:rFonts w:ascii="Times New Roman" w:hAnsi="Times New Roman" w:cs="Times New Roman"/>
        </w:rPr>
      </w:pPr>
      <w:r w:rsidRPr="0056629E">
        <w:rPr>
          <w:rFonts w:ascii="Times New Roman" w:hAnsi="Times New Roman" w:cs="Times New Roman"/>
        </w:rPr>
        <w:t xml:space="preserve">Sunt </w:t>
      </w:r>
      <w:proofErr w:type="spellStart"/>
      <w:r w:rsidRPr="0056629E">
        <w:rPr>
          <w:rFonts w:ascii="Times New Roman" w:hAnsi="Times New Roman" w:cs="Times New Roman"/>
        </w:rPr>
        <w:t>și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vești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bune</w:t>
      </w:r>
      <w:proofErr w:type="spellEnd"/>
      <w:r w:rsidRPr="0056629E">
        <w:rPr>
          <w:rFonts w:ascii="Times New Roman" w:hAnsi="Times New Roman" w:cs="Times New Roman"/>
        </w:rPr>
        <w:t xml:space="preserve">, </w:t>
      </w:r>
      <w:proofErr w:type="spellStart"/>
      <w:r w:rsidRPr="0056629E">
        <w:rPr>
          <w:rFonts w:ascii="Times New Roman" w:hAnsi="Times New Roman" w:cs="Times New Roman"/>
        </w:rPr>
        <w:t>numărul</w:t>
      </w:r>
      <w:proofErr w:type="spellEnd"/>
      <w:r w:rsidRPr="0056629E">
        <w:rPr>
          <w:rFonts w:ascii="Times New Roman" w:hAnsi="Times New Roman" w:cs="Times New Roman"/>
        </w:rPr>
        <w:t xml:space="preserve"> total al </w:t>
      </w:r>
      <w:proofErr w:type="spellStart"/>
      <w:r w:rsidRPr="0056629E">
        <w:rPr>
          <w:rFonts w:ascii="Times New Roman" w:hAnsi="Times New Roman" w:cs="Times New Roman"/>
        </w:rPr>
        <w:t>persoanelor</w:t>
      </w:r>
      <w:proofErr w:type="spellEnd"/>
      <w:r w:rsidRPr="0056629E">
        <w:rPr>
          <w:rFonts w:ascii="Times New Roman" w:hAnsi="Times New Roman" w:cs="Times New Roman"/>
        </w:rPr>
        <w:t xml:space="preserve"> care s-au </w:t>
      </w:r>
      <w:proofErr w:type="spellStart"/>
      <w:r w:rsidRPr="0056629E">
        <w:rPr>
          <w:rFonts w:ascii="Times New Roman" w:hAnsi="Times New Roman" w:cs="Times New Roman"/>
        </w:rPr>
        <w:t>imunizat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prin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vaccinare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împotriva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gripei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sezoniere</w:t>
      </w:r>
      <w:proofErr w:type="spellEnd"/>
      <w:r w:rsidRPr="0056629E">
        <w:rPr>
          <w:rFonts w:ascii="Times New Roman" w:hAnsi="Times New Roman" w:cs="Times New Roman"/>
        </w:rPr>
        <w:t xml:space="preserve"> a </w:t>
      </w:r>
      <w:proofErr w:type="spellStart"/>
      <w:r w:rsidRPr="0056629E">
        <w:rPr>
          <w:rFonts w:ascii="Times New Roman" w:hAnsi="Times New Roman" w:cs="Times New Roman"/>
        </w:rPr>
        <w:t>ajuns</w:t>
      </w:r>
      <w:proofErr w:type="spellEnd"/>
      <w:r w:rsidRPr="0056629E">
        <w:rPr>
          <w:rFonts w:ascii="Times New Roman" w:hAnsi="Times New Roman" w:cs="Times New Roman"/>
        </w:rPr>
        <w:t xml:space="preserve"> la 24.355. </w:t>
      </w:r>
    </w:p>
    <w:p w14:paraId="108C3888" w14:textId="36A69D49" w:rsidR="00D052B7" w:rsidRPr="0056629E" w:rsidRDefault="007428F9" w:rsidP="00202BD5">
      <w:pPr>
        <w:jc w:val="both"/>
        <w:rPr>
          <w:rFonts w:ascii="Times New Roman" w:hAnsi="Times New Roman" w:cs="Times New Roman"/>
        </w:rPr>
      </w:pPr>
      <w:r w:rsidRPr="0056629E">
        <w:rPr>
          <w:rFonts w:ascii="Times New Roman" w:hAnsi="Times New Roman" w:cs="Times New Roman"/>
        </w:rPr>
        <w:t xml:space="preserve">”Ne </w:t>
      </w:r>
      <w:proofErr w:type="spellStart"/>
      <w:r w:rsidRPr="0056629E">
        <w:rPr>
          <w:rFonts w:ascii="Times New Roman" w:hAnsi="Times New Roman" w:cs="Times New Roman"/>
        </w:rPr>
        <w:t>bucură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faptul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că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sibienii</w:t>
      </w:r>
      <w:proofErr w:type="spellEnd"/>
      <w:r w:rsidRPr="0056629E">
        <w:rPr>
          <w:rFonts w:ascii="Times New Roman" w:hAnsi="Times New Roman" w:cs="Times New Roman"/>
        </w:rPr>
        <w:t xml:space="preserve"> au </w:t>
      </w:r>
      <w:proofErr w:type="spellStart"/>
      <w:r w:rsidRPr="0056629E">
        <w:rPr>
          <w:rFonts w:ascii="Times New Roman" w:hAnsi="Times New Roman" w:cs="Times New Roman"/>
        </w:rPr>
        <w:t>înțeles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că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vaccinarea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salvează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vieți</w:t>
      </w:r>
      <w:proofErr w:type="spellEnd"/>
      <w:r w:rsidRPr="0056629E">
        <w:rPr>
          <w:rFonts w:ascii="Times New Roman" w:hAnsi="Times New Roman" w:cs="Times New Roman"/>
        </w:rPr>
        <w:t xml:space="preserve">! S-a </w:t>
      </w:r>
      <w:proofErr w:type="spellStart"/>
      <w:r w:rsidRPr="0056629E">
        <w:rPr>
          <w:rFonts w:ascii="Times New Roman" w:hAnsi="Times New Roman" w:cs="Times New Roman"/>
        </w:rPr>
        <w:t>depășit</w:t>
      </w:r>
      <w:proofErr w:type="spellEnd"/>
      <w:r w:rsidRPr="0056629E">
        <w:rPr>
          <w:rFonts w:ascii="Times New Roman" w:hAnsi="Times New Roman" w:cs="Times New Roman"/>
        </w:rPr>
        <w:t xml:space="preserve"> cu </w:t>
      </w:r>
      <w:proofErr w:type="spellStart"/>
      <w:r w:rsidRPr="0056629E">
        <w:rPr>
          <w:rFonts w:ascii="Times New Roman" w:hAnsi="Times New Roman" w:cs="Times New Roman"/>
        </w:rPr>
        <w:t>pest</w:t>
      </w:r>
      <w:r w:rsidR="00C63707" w:rsidRPr="0056629E">
        <w:rPr>
          <w:rFonts w:ascii="Times New Roman" w:hAnsi="Times New Roman" w:cs="Times New Roman"/>
        </w:rPr>
        <w:t>e</w:t>
      </w:r>
      <w:proofErr w:type="spellEnd"/>
      <w:r w:rsidRPr="0056629E">
        <w:rPr>
          <w:rFonts w:ascii="Times New Roman" w:hAnsi="Times New Roman" w:cs="Times New Roman"/>
        </w:rPr>
        <w:t xml:space="preserve"> 850 de </w:t>
      </w:r>
      <w:proofErr w:type="spellStart"/>
      <w:r w:rsidRPr="0056629E">
        <w:rPr>
          <w:rFonts w:ascii="Times New Roman" w:hAnsi="Times New Roman" w:cs="Times New Roman"/>
        </w:rPr>
        <w:t>vaccinări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numărul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imunizărilor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="00797787" w:rsidRPr="0056629E">
        <w:rPr>
          <w:rFonts w:ascii="Times New Roman" w:hAnsi="Times New Roman" w:cs="Times New Roman"/>
        </w:rPr>
        <w:t>înregistrate</w:t>
      </w:r>
      <w:proofErr w:type="spellEnd"/>
      <w:r w:rsidR="00797787" w:rsidRPr="0056629E">
        <w:rPr>
          <w:rFonts w:ascii="Times New Roman" w:hAnsi="Times New Roman" w:cs="Times New Roman"/>
        </w:rPr>
        <w:t xml:space="preserve"> </w:t>
      </w:r>
      <w:proofErr w:type="spellStart"/>
      <w:r w:rsidR="00797787" w:rsidRPr="0056629E">
        <w:rPr>
          <w:rFonts w:ascii="Times New Roman" w:hAnsi="Times New Roman" w:cs="Times New Roman"/>
        </w:rPr>
        <w:t>în</w:t>
      </w:r>
      <w:proofErr w:type="spellEnd"/>
      <w:r w:rsidR="00797787" w:rsidRPr="0056629E">
        <w:rPr>
          <w:rFonts w:ascii="Times New Roman" w:hAnsi="Times New Roman" w:cs="Times New Roman"/>
        </w:rPr>
        <w:t xml:space="preserve"> </w:t>
      </w:r>
      <w:proofErr w:type="spellStart"/>
      <w:r w:rsidR="00D115C6" w:rsidRPr="0056629E">
        <w:rPr>
          <w:rFonts w:ascii="Times New Roman" w:hAnsi="Times New Roman" w:cs="Times New Roman"/>
        </w:rPr>
        <w:t>tot</w:t>
      </w:r>
      <w:proofErr w:type="spellEnd"/>
      <w:r w:rsidR="00D115C6"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sezonul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gripal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trecut</w:t>
      </w:r>
      <w:proofErr w:type="spellEnd"/>
      <w:r w:rsidRPr="0056629E">
        <w:rPr>
          <w:rFonts w:ascii="Times New Roman" w:hAnsi="Times New Roman" w:cs="Times New Roman"/>
        </w:rPr>
        <w:t xml:space="preserve">. </w:t>
      </w:r>
      <w:proofErr w:type="spellStart"/>
      <w:r w:rsidRPr="0056629E">
        <w:rPr>
          <w:rFonts w:ascii="Times New Roman" w:hAnsi="Times New Roman" w:cs="Times New Roman"/>
        </w:rPr>
        <w:t>Încurjăm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oamenii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să</w:t>
      </w:r>
      <w:proofErr w:type="spellEnd"/>
      <w:r w:rsidRPr="0056629E">
        <w:rPr>
          <w:rFonts w:ascii="Times New Roman" w:hAnsi="Times New Roman" w:cs="Times New Roman"/>
        </w:rPr>
        <w:t xml:space="preserve"> se </w:t>
      </w:r>
      <w:proofErr w:type="spellStart"/>
      <w:r w:rsidRPr="0056629E">
        <w:rPr>
          <w:rFonts w:ascii="Times New Roman" w:hAnsi="Times New Roman" w:cs="Times New Roman"/>
        </w:rPr>
        <w:t>vaccineze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în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continuare</w:t>
      </w:r>
      <w:proofErr w:type="spellEnd"/>
      <w:r w:rsidRPr="0056629E">
        <w:rPr>
          <w:rFonts w:ascii="Times New Roman" w:hAnsi="Times New Roman" w:cs="Times New Roman"/>
        </w:rPr>
        <w:t xml:space="preserve">, </w:t>
      </w:r>
      <w:proofErr w:type="spellStart"/>
      <w:r w:rsidRPr="0056629E">
        <w:rPr>
          <w:rFonts w:ascii="Times New Roman" w:hAnsi="Times New Roman" w:cs="Times New Roman"/>
        </w:rPr>
        <w:t>să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își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imunizeze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inclusiv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copiii</w:t>
      </w:r>
      <w:proofErr w:type="spellEnd"/>
      <w:r w:rsidRPr="0056629E">
        <w:rPr>
          <w:rFonts w:ascii="Times New Roman" w:hAnsi="Times New Roman" w:cs="Times New Roman"/>
        </w:rPr>
        <w:t xml:space="preserve">, </w:t>
      </w:r>
      <w:proofErr w:type="spellStart"/>
      <w:r w:rsidRPr="0056629E">
        <w:rPr>
          <w:rFonts w:ascii="Times New Roman" w:hAnsi="Times New Roman" w:cs="Times New Roman"/>
        </w:rPr>
        <w:t>pentru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că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există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vaccin</w:t>
      </w:r>
      <w:proofErr w:type="spellEnd"/>
      <w:r w:rsidRPr="0056629E">
        <w:rPr>
          <w:rFonts w:ascii="Times New Roman" w:hAnsi="Times New Roman" w:cs="Times New Roman"/>
        </w:rPr>
        <w:t xml:space="preserve"> special </w:t>
      </w:r>
      <w:proofErr w:type="spellStart"/>
      <w:r w:rsidRPr="0056629E">
        <w:rPr>
          <w:rFonts w:ascii="Times New Roman" w:hAnsi="Times New Roman" w:cs="Times New Roman"/>
        </w:rPr>
        <w:t>pentru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ei</w:t>
      </w:r>
      <w:proofErr w:type="spellEnd"/>
      <w:r w:rsidRPr="0056629E">
        <w:rPr>
          <w:rFonts w:ascii="Times New Roman" w:hAnsi="Times New Roman" w:cs="Times New Roman"/>
        </w:rPr>
        <w:t xml:space="preserve">, </w:t>
      </w:r>
      <w:proofErr w:type="spellStart"/>
      <w:r w:rsidRPr="0056629E">
        <w:rPr>
          <w:rFonts w:ascii="Times New Roman" w:hAnsi="Times New Roman" w:cs="Times New Roman"/>
        </w:rPr>
        <w:t>ușor</w:t>
      </w:r>
      <w:proofErr w:type="spellEnd"/>
      <w:r w:rsidRPr="0056629E">
        <w:rPr>
          <w:rFonts w:ascii="Times New Roman" w:hAnsi="Times New Roman" w:cs="Times New Roman"/>
        </w:rPr>
        <w:t xml:space="preserve"> de </w:t>
      </w:r>
      <w:proofErr w:type="spellStart"/>
      <w:r w:rsidRPr="0056629E">
        <w:rPr>
          <w:rFonts w:ascii="Times New Roman" w:hAnsi="Times New Roman" w:cs="Times New Roman"/>
        </w:rPr>
        <w:t>administrat</w:t>
      </w:r>
      <w:proofErr w:type="spellEnd"/>
      <w:r w:rsidRPr="0056629E">
        <w:rPr>
          <w:rFonts w:ascii="Times New Roman" w:hAnsi="Times New Roman" w:cs="Times New Roman"/>
        </w:rPr>
        <w:t xml:space="preserve">, </w:t>
      </w:r>
      <w:proofErr w:type="spellStart"/>
      <w:r w:rsidR="006F5346" w:rsidRPr="0056629E">
        <w:rPr>
          <w:rFonts w:ascii="Times New Roman" w:hAnsi="Times New Roman" w:cs="Times New Roman"/>
        </w:rPr>
        <w:t>astfel</w:t>
      </w:r>
      <w:proofErr w:type="spellEnd"/>
      <w:r w:rsidR="006F5346" w:rsidRPr="0056629E">
        <w:rPr>
          <w:rFonts w:ascii="Times New Roman" w:hAnsi="Times New Roman" w:cs="Times New Roman"/>
        </w:rPr>
        <w:t xml:space="preserve"> </w:t>
      </w:r>
      <w:proofErr w:type="spellStart"/>
      <w:r w:rsidR="006F5346" w:rsidRPr="0056629E">
        <w:rPr>
          <w:rFonts w:ascii="Times New Roman" w:hAnsi="Times New Roman" w:cs="Times New Roman"/>
        </w:rPr>
        <w:t>încât</w:t>
      </w:r>
      <w:proofErr w:type="spellEnd"/>
      <w:r w:rsidR="006F5346" w:rsidRPr="0056629E">
        <w:rPr>
          <w:rFonts w:ascii="Times New Roman" w:hAnsi="Times New Roman" w:cs="Times New Roman"/>
        </w:rPr>
        <w:t xml:space="preserve">, pe de-o </w:t>
      </w:r>
      <w:proofErr w:type="spellStart"/>
      <w:r w:rsidR="006F5346" w:rsidRPr="0056629E">
        <w:rPr>
          <w:rFonts w:ascii="Times New Roman" w:hAnsi="Times New Roman" w:cs="Times New Roman"/>
        </w:rPr>
        <w:t>parte</w:t>
      </w:r>
      <w:proofErr w:type="spellEnd"/>
      <w:r w:rsidR="006F5346" w:rsidRPr="0056629E">
        <w:rPr>
          <w:rFonts w:ascii="Times New Roman" w:hAnsi="Times New Roman" w:cs="Times New Roman"/>
        </w:rPr>
        <w:t xml:space="preserve"> </w:t>
      </w:r>
      <w:proofErr w:type="spellStart"/>
      <w:r w:rsidR="006F5346" w:rsidRPr="0056629E">
        <w:rPr>
          <w:rFonts w:ascii="Times New Roman" w:hAnsi="Times New Roman" w:cs="Times New Roman"/>
        </w:rPr>
        <w:t>să</w:t>
      </w:r>
      <w:proofErr w:type="spellEnd"/>
      <w:r w:rsidR="006F5346" w:rsidRPr="0056629E">
        <w:rPr>
          <w:rFonts w:ascii="Times New Roman" w:hAnsi="Times New Roman" w:cs="Times New Roman"/>
        </w:rPr>
        <w:t xml:space="preserve"> ne </w:t>
      </w:r>
      <w:proofErr w:type="spellStart"/>
      <w:r w:rsidR="006F5346" w:rsidRPr="0056629E">
        <w:rPr>
          <w:rFonts w:ascii="Times New Roman" w:hAnsi="Times New Roman" w:cs="Times New Roman"/>
        </w:rPr>
        <w:t>pregătim</w:t>
      </w:r>
      <w:proofErr w:type="spellEnd"/>
      <w:r w:rsidR="006F5346" w:rsidRPr="0056629E">
        <w:rPr>
          <w:rFonts w:ascii="Times New Roman" w:hAnsi="Times New Roman" w:cs="Times New Roman"/>
        </w:rPr>
        <w:t xml:space="preserve"> </w:t>
      </w:r>
      <w:proofErr w:type="spellStart"/>
      <w:r w:rsidR="006F5346" w:rsidRPr="0056629E">
        <w:rPr>
          <w:rFonts w:ascii="Times New Roman" w:hAnsi="Times New Roman" w:cs="Times New Roman"/>
        </w:rPr>
        <w:t>sănătoși</w:t>
      </w:r>
      <w:proofErr w:type="spellEnd"/>
      <w:r w:rsidR="006F5346" w:rsidRPr="0056629E">
        <w:rPr>
          <w:rFonts w:ascii="Times New Roman" w:hAnsi="Times New Roman" w:cs="Times New Roman"/>
        </w:rPr>
        <w:t xml:space="preserve"> </w:t>
      </w:r>
      <w:proofErr w:type="spellStart"/>
      <w:r w:rsidR="006F5346" w:rsidRPr="0056629E">
        <w:rPr>
          <w:rFonts w:ascii="Times New Roman" w:hAnsi="Times New Roman" w:cs="Times New Roman"/>
        </w:rPr>
        <w:t>și</w:t>
      </w:r>
      <w:proofErr w:type="spellEnd"/>
      <w:r w:rsidR="006F5346" w:rsidRPr="0056629E">
        <w:rPr>
          <w:rFonts w:ascii="Times New Roman" w:hAnsi="Times New Roman" w:cs="Times New Roman"/>
        </w:rPr>
        <w:t xml:space="preserve"> </w:t>
      </w:r>
      <w:proofErr w:type="spellStart"/>
      <w:r w:rsidR="006F5346" w:rsidRPr="0056629E">
        <w:rPr>
          <w:rFonts w:ascii="Times New Roman" w:hAnsi="Times New Roman" w:cs="Times New Roman"/>
        </w:rPr>
        <w:t>protejați</w:t>
      </w:r>
      <w:proofErr w:type="spellEnd"/>
      <w:r w:rsidR="006F5346" w:rsidRPr="0056629E">
        <w:rPr>
          <w:rFonts w:ascii="Times New Roman" w:hAnsi="Times New Roman" w:cs="Times New Roman"/>
        </w:rPr>
        <w:t xml:space="preserve"> de </w:t>
      </w:r>
      <w:proofErr w:type="spellStart"/>
      <w:r w:rsidR="006F5346" w:rsidRPr="0056629E">
        <w:rPr>
          <w:rFonts w:ascii="Times New Roman" w:hAnsi="Times New Roman" w:cs="Times New Roman"/>
        </w:rPr>
        <w:t>sărbătorile</w:t>
      </w:r>
      <w:proofErr w:type="spellEnd"/>
      <w:r w:rsidR="006F5346" w:rsidRPr="0056629E">
        <w:rPr>
          <w:rFonts w:ascii="Times New Roman" w:hAnsi="Times New Roman" w:cs="Times New Roman"/>
        </w:rPr>
        <w:t xml:space="preserve"> de </w:t>
      </w:r>
      <w:proofErr w:type="spellStart"/>
      <w:r w:rsidR="006F5346" w:rsidRPr="0056629E">
        <w:rPr>
          <w:rFonts w:ascii="Times New Roman" w:hAnsi="Times New Roman" w:cs="Times New Roman"/>
        </w:rPr>
        <w:t>iarnă</w:t>
      </w:r>
      <w:proofErr w:type="spellEnd"/>
      <w:r w:rsidR="006F5346" w:rsidRPr="0056629E">
        <w:rPr>
          <w:rFonts w:ascii="Times New Roman" w:hAnsi="Times New Roman" w:cs="Times New Roman"/>
        </w:rPr>
        <w:t xml:space="preserve">, </w:t>
      </w:r>
      <w:proofErr w:type="spellStart"/>
      <w:r w:rsidR="006F5346" w:rsidRPr="0056629E">
        <w:rPr>
          <w:rFonts w:ascii="Times New Roman" w:hAnsi="Times New Roman" w:cs="Times New Roman"/>
        </w:rPr>
        <w:t>iar</w:t>
      </w:r>
      <w:proofErr w:type="spellEnd"/>
      <w:r w:rsidR="006F5346" w:rsidRPr="0056629E">
        <w:rPr>
          <w:rFonts w:ascii="Times New Roman" w:hAnsi="Times New Roman" w:cs="Times New Roman"/>
        </w:rPr>
        <w:t xml:space="preserve"> pe de </w:t>
      </w:r>
      <w:proofErr w:type="spellStart"/>
      <w:r w:rsidR="006F5346" w:rsidRPr="0056629E">
        <w:rPr>
          <w:rFonts w:ascii="Times New Roman" w:hAnsi="Times New Roman" w:cs="Times New Roman"/>
        </w:rPr>
        <w:t>altă</w:t>
      </w:r>
      <w:proofErr w:type="spellEnd"/>
      <w:r w:rsidR="006F5346" w:rsidRPr="0056629E">
        <w:rPr>
          <w:rFonts w:ascii="Times New Roman" w:hAnsi="Times New Roman" w:cs="Times New Roman"/>
        </w:rPr>
        <w:t xml:space="preserve"> </w:t>
      </w:r>
      <w:proofErr w:type="spellStart"/>
      <w:r w:rsidR="006F5346" w:rsidRPr="0056629E">
        <w:rPr>
          <w:rFonts w:ascii="Times New Roman" w:hAnsi="Times New Roman" w:cs="Times New Roman"/>
        </w:rPr>
        <w:t>parte</w:t>
      </w:r>
      <w:proofErr w:type="spellEnd"/>
      <w:r w:rsidR="006F5346" w:rsidRPr="0056629E">
        <w:rPr>
          <w:rFonts w:ascii="Times New Roman" w:hAnsi="Times New Roman" w:cs="Times New Roman"/>
        </w:rPr>
        <w:t xml:space="preserve"> </w:t>
      </w:r>
      <w:proofErr w:type="spellStart"/>
      <w:r w:rsidR="006F5346" w:rsidRPr="0056629E">
        <w:rPr>
          <w:rFonts w:ascii="Times New Roman" w:hAnsi="Times New Roman" w:cs="Times New Roman"/>
        </w:rPr>
        <w:t>să</w:t>
      </w:r>
      <w:proofErr w:type="spellEnd"/>
      <w:r w:rsidR="006F5346" w:rsidRPr="0056629E">
        <w:rPr>
          <w:rFonts w:ascii="Times New Roman" w:hAnsi="Times New Roman" w:cs="Times New Roman"/>
        </w:rPr>
        <w:t xml:space="preserve"> </w:t>
      </w:r>
      <w:proofErr w:type="spellStart"/>
      <w:r w:rsidR="006F5346" w:rsidRPr="0056629E">
        <w:rPr>
          <w:rFonts w:ascii="Times New Roman" w:hAnsi="Times New Roman" w:cs="Times New Roman"/>
        </w:rPr>
        <w:t>trecem</w:t>
      </w:r>
      <w:proofErr w:type="spellEnd"/>
      <w:r w:rsidR="00D115C6" w:rsidRPr="0056629E">
        <w:rPr>
          <w:rFonts w:ascii="Times New Roman" w:hAnsi="Times New Roman" w:cs="Times New Roman"/>
        </w:rPr>
        <w:t>,</w:t>
      </w:r>
      <w:r w:rsidR="006F5346" w:rsidRPr="0056629E">
        <w:rPr>
          <w:rFonts w:ascii="Times New Roman" w:hAnsi="Times New Roman" w:cs="Times New Roman"/>
        </w:rPr>
        <w:t xml:space="preserve"> cu brio</w:t>
      </w:r>
      <w:r w:rsidR="004A3707" w:rsidRPr="0056629E">
        <w:rPr>
          <w:rFonts w:ascii="Times New Roman" w:hAnsi="Times New Roman" w:cs="Times New Roman"/>
        </w:rPr>
        <w:t>,</w:t>
      </w:r>
      <w:r w:rsidR="006F5346" w:rsidRPr="0056629E">
        <w:rPr>
          <w:rFonts w:ascii="Times New Roman" w:hAnsi="Times New Roman" w:cs="Times New Roman"/>
        </w:rPr>
        <w:t xml:space="preserve"> </w:t>
      </w:r>
      <w:proofErr w:type="spellStart"/>
      <w:r w:rsidR="006F5346" w:rsidRPr="0056629E">
        <w:rPr>
          <w:rFonts w:ascii="Times New Roman" w:hAnsi="Times New Roman" w:cs="Times New Roman"/>
        </w:rPr>
        <w:t>peste</w:t>
      </w:r>
      <w:proofErr w:type="spellEnd"/>
      <w:r w:rsidR="006F5346" w:rsidRPr="0056629E">
        <w:rPr>
          <w:rFonts w:ascii="Times New Roman" w:hAnsi="Times New Roman" w:cs="Times New Roman"/>
        </w:rPr>
        <w:t xml:space="preserve"> </w:t>
      </w:r>
      <w:proofErr w:type="spellStart"/>
      <w:r w:rsidR="006F5346" w:rsidRPr="0056629E">
        <w:rPr>
          <w:rFonts w:ascii="Times New Roman" w:hAnsi="Times New Roman" w:cs="Times New Roman"/>
        </w:rPr>
        <w:t>puseele</w:t>
      </w:r>
      <w:proofErr w:type="spellEnd"/>
      <w:r w:rsidR="006F5346" w:rsidRPr="0056629E">
        <w:rPr>
          <w:rFonts w:ascii="Times New Roman" w:hAnsi="Times New Roman" w:cs="Times New Roman"/>
        </w:rPr>
        <w:t xml:space="preserve"> </w:t>
      </w:r>
      <w:proofErr w:type="spellStart"/>
      <w:r w:rsidR="006F5346" w:rsidRPr="0056629E">
        <w:rPr>
          <w:rFonts w:ascii="Times New Roman" w:hAnsi="Times New Roman" w:cs="Times New Roman"/>
        </w:rPr>
        <w:t>gripale</w:t>
      </w:r>
      <w:proofErr w:type="spellEnd"/>
      <w:r w:rsidR="006F5346" w:rsidRPr="0056629E">
        <w:rPr>
          <w:rFonts w:ascii="Times New Roman" w:hAnsi="Times New Roman" w:cs="Times New Roman"/>
        </w:rPr>
        <w:t xml:space="preserve"> ale </w:t>
      </w:r>
      <w:proofErr w:type="spellStart"/>
      <w:r w:rsidR="006F5346" w:rsidRPr="0056629E">
        <w:rPr>
          <w:rFonts w:ascii="Times New Roman" w:hAnsi="Times New Roman" w:cs="Times New Roman"/>
        </w:rPr>
        <w:t>sezonului</w:t>
      </w:r>
      <w:proofErr w:type="spellEnd"/>
      <w:r w:rsidR="004346A2" w:rsidRPr="0056629E">
        <w:rPr>
          <w:rFonts w:ascii="Times New Roman" w:hAnsi="Times New Roman" w:cs="Times New Roman"/>
        </w:rPr>
        <w:t xml:space="preserve">”, a </w:t>
      </w:r>
      <w:proofErr w:type="spellStart"/>
      <w:r w:rsidR="004346A2" w:rsidRPr="0056629E">
        <w:rPr>
          <w:rFonts w:ascii="Times New Roman" w:hAnsi="Times New Roman" w:cs="Times New Roman"/>
        </w:rPr>
        <w:t>declarat</w:t>
      </w:r>
      <w:proofErr w:type="spellEnd"/>
      <w:r w:rsidR="004346A2" w:rsidRPr="0056629E">
        <w:rPr>
          <w:rFonts w:ascii="Times New Roman" w:hAnsi="Times New Roman" w:cs="Times New Roman"/>
        </w:rPr>
        <w:t xml:space="preserve"> </w:t>
      </w:r>
      <w:proofErr w:type="spellStart"/>
      <w:r w:rsidR="004346A2" w:rsidRPr="0056629E">
        <w:rPr>
          <w:rFonts w:ascii="Times New Roman" w:hAnsi="Times New Roman" w:cs="Times New Roman"/>
        </w:rPr>
        <w:t>directorul</w:t>
      </w:r>
      <w:proofErr w:type="spellEnd"/>
      <w:r w:rsidR="004346A2" w:rsidRPr="0056629E">
        <w:rPr>
          <w:rFonts w:ascii="Times New Roman" w:hAnsi="Times New Roman" w:cs="Times New Roman"/>
        </w:rPr>
        <w:t xml:space="preserve"> DSP Sibiu, Horațiu Cojocaru.</w:t>
      </w:r>
    </w:p>
    <w:p w14:paraId="27C65678" w14:textId="07103A25" w:rsidR="00797787" w:rsidRPr="0056629E" w:rsidRDefault="00797787" w:rsidP="00202BD5">
      <w:pPr>
        <w:jc w:val="both"/>
        <w:rPr>
          <w:rFonts w:ascii="Times New Roman" w:hAnsi="Times New Roman" w:cs="Times New Roman"/>
        </w:rPr>
      </w:pPr>
      <w:proofErr w:type="spellStart"/>
      <w:r w:rsidRPr="0056629E">
        <w:rPr>
          <w:rFonts w:ascii="Times New Roman" w:hAnsi="Times New Roman" w:cs="Times New Roman"/>
        </w:rPr>
        <w:t>Remintim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faptul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că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vaccinarea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este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gratuită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copiii</w:t>
      </w:r>
      <w:proofErr w:type="spellEnd"/>
      <w:r w:rsidRPr="0056629E">
        <w:rPr>
          <w:rFonts w:ascii="Times New Roman" w:hAnsi="Times New Roman" w:cs="Times New Roman"/>
        </w:rPr>
        <w:t xml:space="preserve"> cu </w:t>
      </w:r>
      <w:proofErr w:type="spellStart"/>
      <w:r w:rsidRPr="0056629E">
        <w:rPr>
          <w:rFonts w:ascii="Times New Roman" w:hAnsi="Times New Roman" w:cs="Times New Roman"/>
        </w:rPr>
        <w:t>vârsta</w:t>
      </w:r>
      <w:proofErr w:type="spellEnd"/>
      <w:r w:rsidRPr="0056629E">
        <w:rPr>
          <w:rFonts w:ascii="Times New Roman" w:hAnsi="Times New Roman" w:cs="Times New Roman"/>
        </w:rPr>
        <w:t xml:space="preserve"> de </w:t>
      </w:r>
      <w:proofErr w:type="spellStart"/>
      <w:r w:rsidRPr="0056629E">
        <w:rPr>
          <w:rFonts w:ascii="Times New Roman" w:hAnsi="Times New Roman" w:cs="Times New Roman"/>
        </w:rPr>
        <w:t>peste</w:t>
      </w:r>
      <w:proofErr w:type="spellEnd"/>
      <w:r w:rsidRPr="0056629E">
        <w:rPr>
          <w:rFonts w:ascii="Times New Roman" w:hAnsi="Times New Roman" w:cs="Times New Roman"/>
        </w:rPr>
        <w:t xml:space="preserve"> 6 </w:t>
      </w:r>
      <w:proofErr w:type="spellStart"/>
      <w:r w:rsidRPr="0056629E">
        <w:rPr>
          <w:rFonts w:ascii="Times New Roman" w:hAnsi="Times New Roman" w:cs="Times New Roman"/>
        </w:rPr>
        <w:t>luni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și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până</w:t>
      </w:r>
      <w:proofErr w:type="spellEnd"/>
      <w:r w:rsidRPr="0056629E">
        <w:rPr>
          <w:rFonts w:ascii="Times New Roman" w:hAnsi="Times New Roman" w:cs="Times New Roman"/>
        </w:rPr>
        <w:t xml:space="preserve"> la </w:t>
      </w:r>
      <w:proofErr w:type="spellStart"/>
      <w:r w:rsidRPr="0056629E">
        <w:rPr>
          <w:rFonts w:ascii="Times New Roman" w:hAnsi="Times New Roman" w:cs="Times New Roman"/>
        </w:rPr>
        <w:t>împlinirea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vârstei</w:t>
      </w:r>
      <w:proofErr w:type="spellEnd"/>
      <w:r w:rsidRPr="0056629E">
        <w:rPr>
          <w:rFonts w:ascii="Times New Roman" w:hAnsi="Times New Roman" w:cs="Times New Roman"/>
        </w:rPr>
        <w:t xml:space="preserve"> de 19 ani, </w:t>
      </w:r>
      <w:proofErr w:type="spellStart"/>
      <w:r w:rsidRPr="0056629E">
        <w:rPr>
          <w:rFonts w:ascii="Times New Roman" w:hAnsi="Times New Roman" w:cs="Times New Roman"/>
        </w:rPr>
        <w:t>pentru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persoanele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încadrate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în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categoriile</w:t>
      </w:r>
      <w:proofErr w:type="spellEnd"/>
      <w:r w:rsidRPr="0056629E">
        <w:rPr>
          <w:rFonts w:ascii="Times New Roman" w:hAnsi="Times New Roman" w:cs="Times New Roman"/>
        </w:rPr>
        <w:t xml:space="preserve"> de </w:t>
      </w:r>
      <w:proofErr w:type="spellStart"/>
      <w:r w:rsidRPr="0056629E">
        <w:rPr>
          <w:rFonts w:ascii="Times New Roman" w:hAnsi="Times New Roman" w:cs="Times New Roman"/>
        </w:rPr>
        <w:t>risc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și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este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compensată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în</w:t>
      </w:r>
      <w:proofErr w:type="spellEnd"/>
      <w:r w:rsidRPr="0056629E">
        <w:rPr>
          <w:rFonts w:ascii="Times New Roman" w:hAnsi="Times New Roman" w:cs="Times New Roman"/>
        </w:rPr>
        <w:t xml:space="preserve"> </w:t>
      </w:r>
      <w:proofErr w:type="spellStart"/>
      <w:r w:rsidRPr="0056629E">
        <w:rPr>
          <w:rFonts w:ascii="Times New Roman" w:hAnsi="Times New Roman" w:cs="Times New Roman"/>
        </w:rPr>
        <w:t>proporție</w:t>
      </w:r>
      <w:proofErr w:type="spellEnd"/>
      <w:r w:rsidRPr="0056629E">
        <w:rPr>
          <w:rFonts w:ascii="Times New Roman" w:hAnsi="Times New Roman" w:cs="Times New Roman"/>
        </w:rPr>
        <w:t xml:space="preserve"> de </w:t>
      </w:r>
      <w:r w:rsidR="00475359" w:rsidRPr="0056629E">
        <w:rPr>
          <w:rFonts w:ascii="Times New Roman" w:hAnsi="Times New Roman" w:cs="Times New Roman"/>
        </w:rPr>
        <w:t xml:space="preserve">50% </w:t>
      </w:r>
      <w:proofErr w:type="spellStart"/>
      <w:r w:rsidR="00475359" w:rsidRPr="0056629E">
        <w:rPr>
          <w:rFonts w:ascii="Times New Roman" w:hAnsi="Times New Roman" w:cs="Times New Roman"/>
        </w:rPr>
        <w:t>pentru</w:t>
      </w:r>
      <w:proofErr w:type="spellEnd"/>
      <w:r w:rsidR="00475359" w:rsidRPr="0056629E">
        <w:rPr>
          <w:rFonts w:ascii="Times New Roman" w:hAnsi="Times New Roman" w:cs="Times New Roman"/>
        </w:rPr>
        <w:t xml:space="preserve"> </w:t>
      </w:r>
      <w:proofErr w:type="spellStart"/>
      <w:r w:rsidR="00835A3A" w:rsidRPr="0056629E">
        <w:rPr>
          <w:rFonts w:ascii="Times New Roman" w:hAnsi="Times New Roman" w:cs="Times New Roman"/>
        </w:rPr>
        <w:t>persoanele</w:t>
      </w:r>
      <w:proofErr w:type="spellEnd"/>
      <w:r w:rsidR="00835A3A" w:rsidRPr="0056629E">
        <w:rPr>
          <w:rFonts w:ascii="Times New Roman" w:hAnsi="Times New Roman" w:cs="Times New Roman"/>
        </w:rPr>
        <w:t xml:space="preserve"> cu </w:t>
      </w:r>
      <w:proofErr w:type="spellStart"/>
      <w:r w:rsidR="00835A3A" w:rsidRPr="0056629E">
        <w:rPr>
          <w:rFonts w:ascii="Times New Roman" w:hAnsi="Times New Roman" w:cs="Times New Roman"/>
        </w:rPr>
        <w:t>vârste</w:t>
      </w:r>
      <w:proofErr w:type="spellEnd"/>
      <w:r w:rsidR="00835A3A" w:rsidRPr="0056629E">
        <w:rPr>
          <w:rFonts w:ascii="Times New Roman" w:hAnsi="Times New Roman" w:cs="Times New Roman"/>
        </w:rPr>
        <w:t xml:space="preserve"> </w:t>
      </w:r>
      <w:proofErr w:type="spellStart"/>
      <w:r w:rsidR="00835A3A" w:rsidRPr="0056629E">
        <w:rPr>
          <w:rFonts w:ascii="Times New Roman" w:hAnsi="Times New Roman" w:cs="Times New Roman"/>
        </w:rPr>
        <w:t>cuprinse</w:t>
      </w:r>
      <w:proofErr w:type="spellEnd"/>
      <w:r w:rsidR="00835A3A" w:rsidRPr="0056629E">
        <w:rPr>
          <w:rFonts w:ascii="Times New Roman" w:hAnsi="Times New Roman" w:cs="Times New Roman"/>
        </w:rPr>
        <w:t xml:space="preserve"> </w:t>
      </w:r>
      <w:proofErr w:type="spellStart"/>
      <w:r w:rsidR="00835A3A" w:rsidRPr="0056629E">
        <w:rPr>
          <w:rFonts w:ascii="Times New Roman" w:hAnsi="Times New Roman" w:cs="Times New Roman"/>
        </w:rPr>
        <w:t>între</w:t>
      </w:r>
      <w:proofErr w:type="spellEnd"/>
      <w:r w:rsidR="00835A3A" w:rsidRPr="0056629E">
        <w:rPr>
          <w:rFonts w:ascii="Times New Roman" w:hAnsi="Times New Roman" w:cs="Times New Roman"/>
        </w:rPr>
        <w:t xml:space="preserve"> 45 </w:t>
      </w:r>
      <w:proofErr w:type="spellStart"/>
      <w:r w:rsidR="00835A3A" w:rsidRPr="0056629E">
        <w:rPr>
          <w:rFonts w:ascii="Times New Roman" w:hAnsi="Times New Roman" w:cs="Times New Roman"/>
        </w:rPr>
        <w:t>și</w:t>
      </w:r>
      <w:proofErr w:type="spellEnd"/>
      <w:r w:rsidR="00835A3A" w:rsidRPr="0056629E">
        <w:rPr>
          <w:rFonts w:ascii="Times New Roman" w:hAnsi="Times New Roman" w:cs="Times New Roman"/>
        </w:rPr>
        <w:t xml:space="preserve"> 64 de ani, care nu </w:t>
      </w:r>
      <w:proofErr w:type="spellStart"/>
      <w:r w:rsidR="00835A3A" w:rsidRPr="0056629E">
        <w:rPr>
          <w:rFonts w:ascii="Times New Roman" w:hAnsi="Times New Roman" w:cs="Times New Roman"/>
        </w:rPr>
        <w:t>suferă</w:t>
      </w:r>
      <w:proofErr w:type="spellEnd"/>
      <w:r w:rsidR="00835A3A" w:rsidRPr="0056629E">
        <w:rPr>
          <w:rFonts w:ascii="Times New Roman" w:hAnsi="Times New Roman" w:cs="Times New Roman"/>
        </w:rPr>
        <w:t xml:space="preserve"> de </w:t>
      </w:r>
      <w:proofErr w:type="spellStart"/>
      <w:r w:rsidR="00835A3A" w:rsidRPr="0056629E">
        <w:rPr>
          <w:rFonts w:ascii="Times New Roman" w:hAnsi="Times New Roman" w:cs="Times New Roman"/>
        </w:rPr>
        <w:t>afecțiuni</w:t>
      </w:r>
      <w:proofErr w:type="spellEnd"/>
      <w:r w:rsidR="00835A3A" w:rsidRPr="0056629E">
        <w:rPr>
          <w:rFonts w:ascii="Times New Roman" w:hAnsi="Times New Roman" w:cs="Times New Roman"/>
        </w:rPr>
        <w:t xml:space="preserve"> </w:t>
      </w:r>
      <w:proofErr w:type="spellStart"/>
      <w:r w:rsidR="00835A3A" w:rsidRPr="0056629E">
        <w:rPr>
          <w:rFonts w:ascii="Times New Roman" w:hAnsi="Times New Roman" w:cs="Times New Roman"/>
        </w:rPr>
        <w:t>cronice</w:t>
      </w:r>
      <w:proofErr w:type="spellEnd"/>
      <w:r w:rsidR="00835A3A" w:rsidRPr="0056629E">
        <w:rPr>
          <w:rFonts w:ascii="Times New Roman" w:hAnsi="Times New Roman" w:cs="Times New Roman"/>
        </w:rPr>
        <w:t xml:space="preserve">. </w:t>
      </w:r>
    </w:p>
    <w:p w14:paraId="0CF749F8" w14:textId="77777777" w:rsidR="00D115C6" w:rsidRDefault="00D115C6" w:rsidP="00202BD5">
      <w:pPr>
        <w:jc w:val="both"/>
      </w:pPr>
    </w:p>
    <w:p w14:paraId="4C6C39D6" w14:textId="77777777" w:rsidR="00D115C6" w:rsidRDefault="00D115C6"/>
    <w:p w14:paraId="1505130D" w14:textId="77777777" w:rsidR="00D115C6" w:rsidRDefault="00D115C6"/>
    <w:p w14:paraId="17945E4D" w14:textId="77777777" w:rsidR="00D115C6" w:rsidRDefault="00D115C6"/>
    <w:p w14:paraId="31F27A61" w14:textId="77777777" w:rsidR="00D115C6" w:rsidRPr="00F02A31" w:rsidRDefault="00D115C6" w:rsidP="00D115C6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Director </w:t>
      </w:r>
      <w:proofErr w:type="spellStart"/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executiv</w:t>
      </w:r>
      <w:proofErr w:type="spellEnd"/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,</w:t>
      </w:r>
    </w:p>
    <w:p w14:paraId="3E4D9CE0" w14:textId="77777777" w:rsidR="00D115C6" w:rsidRPr="00F02A31" w:rsidRDefault="00D115C6" w:rsidP="00D115C6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Ec. Cojocaru Nicolae Horațiu</w:t>
      </w:r>
    </w:p>
    <w:p w14:paraId="42881BB6" w14:textId="77777777" w:rsidR="00D115C6" w:rsidRDefault="00D115C6" w:rsidP="00D115C6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A9BE2E4" w14:textId="77777777" w:rsidR="00D115C6" w:rsidRDefault="00D115C6" w:rsidP="00D115C6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20108EB5" w14:textId="77777777" w:rsidR="00AC0F4C" w:rsidRDefault="00AC0F4C" w:rsidP="00D115C6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397590F4" w14:textId="77777777" w:rsidR="00AC0F4C" w:rsidRDefault="00AC0F4C" w:rsidP="00D115C6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495C337F" w14:textId="77777777" w:rsidR="00D115C6" w:rsidRPr="00977E78" w:rsidRDefault="00D115C6" w:rsidP="00D115C6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proofErr w:type="spellStart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Întocmit</w:t>
      </w:r>
      <w:proofErr w:type="spellEnd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:</w:t>
      </w:r>
    </w:p>
    <w:p w14:paraId="713073EA" w14:textId="77777777" w:rsidR="00D115C6" w:rsidRPr="005F1E97" w:rsidRDefault="00D115C6" w:rsidP="00D115C6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Cons. </w:t>
      </w:r>
      <w:proofErr w:type="spellStart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princip</w:t>
      </w:r>
      <w:proofErr w:type="spellEnd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. Ungureanu Denisa</w:t>
      </w:r>
    </w:p>
    <w:p w14:paraId="770DF493" w14:textId="77777777" w:rsidR="007428F9" w:rsidRDefault="007428F9"/>
    <w:sectPr w:rsidR="007428F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389A8" w14:textId="77777777" w:rsidR="003C1657" w:rsidRDefault="003C1657" w:rsidP="0093689D">
      <w:pPr>
        <w:spacing w:after="0" w:line="240" w:lineRule="auto"/>
      </w:pPr>
      <w:r>
        <w:separator/>
      </w:r>
    </w:p>
  </w:endnote>
  <w:endnote w:type="continuationSeparator" w:id="0">
    <w:p w14:paraId="0BB1626A" w14:textId="77777777" w:rsidR="003C1657" w:rsidRDefault="003C1657" w:rsidP="0093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1C5D0" w14:textId="77777777" w:rsidR="003C1657" w:rsidRDefault="003C1657" w:rsidP="0093689D">
      <w:pPr>
        <w:spacing w:after="0" w:line="240" w:lineRule="auto"/>
      </w:pPr>
      <w:r>
        <w:separator/>
      </w:r>
    </w:p>
  </w:footnote>
  <w:footnote w:type="continuationSeparator" w:id="0">
    <w:p w14:paraId="5DBCCFA4" w14:textId="77777777" w:rsidR="003C1657" w:rsidRDefault="003C1657" w:rsidP="00936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C23E" w14:textId="77777777" w:rsidR="0093689D" w:rsidRDefault="0093689D" w:rsidP="0093689D">
    <w:pPr>
      <w:spacing w:before="20" w:after="20" w:line="240" w:lineRule="auto"/>
      <w:jc w:val="center"/>
      <w:rPr>
        <w:rFonts w:ascii="Arial" w:eastAsia="MS Mincho" w:hAnsi="Arial" w:cs="Arial"/>
        <w:b/>
        <w:color w:val="000000"/>
        <w:kern w:val="0"/>
        <w:lang w:val="ro-RO" w:eastAsia="ja-JP"/>
        <w14:ligatures w14:val="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7A7F070" wp14:editId="70BFC569">
          <wp:simplePos x="0" y="0"/>
          <wp:positionH relativeFrom="column">
            <wp:posOffset>-22225</wp:posOffset>
          </wp:positionH>
          <wp:positionV relativeFrom="paragraph">
            <wp:posOffset>89535</wp:posOffset>
          </wp:positionV>
          <wp:extent cx="990600" cy="952500"/>
          <wp:effectExtent l="0" t="0" r="0" b="0"/>
          <wp:wrapSquare wrapText="right"/>
          <wp:docPr id="1029417298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93798325"/>
    <w:r>
      <w:rPr>
        <w:rFonts w:ascii="Arial" w:eastAsia="Times New Roman" w:hAnsi="Arial" w:cs="Times New Roman"/>
        <w:b/>
        <w:kern w:val="0"/>
        <w:lang w:val="ro-RO"/>
        <w14:ligatures w14:val="none"/>
      </w:rPr>
      <w:t xml:space="preserve">MINISTERUL SĂNĂTĂŢII </w:t>
    </w:r>
  </w:p>
  <w:p w14:paraId="5CD78F60" w14:textId="77777777" w:rsidR="0093689D" w:rsidRDefault="0093689D" w:rsidP="0093689D">
    <w:pPr>
      <w:spacing w:before="20" w:after="20" w:line="240" w:lineRule="auto"/>
      <w:jc w:val="center"/>
      <w:rPr>
        <w:rFonts w:ascii="Arial" w:eastAsia="Times New Roman" w:hAnsi="Arial" w:cs="Arial"/>
        <w:b/>
        <w:caps/>
        <w:kern w:val="0"/>
        <w:lang w:val="ro-RO"/>
        <w14:ligatures w14:val="none"/>
      </w:rPr>
    </w:pPr>
    <w:r>
      <w:rPr>
        <w:rFonts w:ascii="Arial" w:eastAsia="Times New Roman" w:hAnsi="Arial" w:cs="Arial"/>
        <w:b/>
        <w:kern w:val="0"/>
        <w:lang w:val="ro-RO"/>
        <w14:ligatures w14:val="none"/>
      </w:rPr>
      <w:t>DIRECŢIA</w:t>
    </w:r>
    <w:r>
      <w:rPr>
        <w:rFonts w:ascii="Arial" w:eastAsia="Times New Roman" w:hAnsi="Arial" w:cs="Arial"/>
        <w:b/>
        <w:caps/>
        <w:kern w:val="0"/>
        <w:lang w:val="ro-RO"/>
        <w14:ligatures w14:val="none"/>
      </w:rPr>
      <w:t xml:space="preserve"> de Sănătate Publică a Judeţului SIBIU</w:t>
    </w:r>
  </w:p>
  <w:p w14:paraId="54A44152" w14:textId="77777777" w:rsidR="0093689D" w:rsidRDefault="0093689D" w:rsidP="0093689D">
    <w:pPr>
      <w:spacing w:before="20" w:after="20" w:line="240" w:lineRule="auto"/>
      <w:jc w:val="center"/>
      <w:rPr>
        <w:rFonts w:ascii="Times New Roman" w:eastAsia="Times New Roman" w:hAnsi="Times New Roman" w:cs="Times New Roman"/>
        <w:b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Sibiu, str. Gh. </w:t>
    </w:r>
    <w:proofErr w:type="spellStart"/>
    <w:r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>Bariţiu</w:t>
    </w:r>
    <w:proofErr w:type="spellEnd"/>
    <w:r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, nr. 3 cod 550178  Tel.: 0269 - 210071 / 211566  </w:t>
    </w:r>
  </w:p>
  <w:p w14:paraId="3C6AD2C3" w14:textId="77777777" w:rsidR="0093689D" w:rsidRDefault="0093689D" w:rsidP="0093689D">
    <w:pPr>
      <w:spacing w:before="20" w:after="20" w:line="240" w:lineRule="auto"/>
      <w:rPr>
        <w:rFonts w:ascii="Times New Roman" w:eastAsia="Times New Roman" w:hAnsi="Times New Roman" w:cs="Times New Roman"/>
        <w:b/>
        <w:color w:val="000000"/>
        <w:kern w:val="0"/>
        <w:lang w:val="en-US"/>
        <w14:ligatures w14:val="none"/>
      </w:rPr>
    </w:pPr>
    <w:r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    Fax :0269-217092; e-mail : </w:t>
    </w:r>
    <w:hyperlink r:id="rId2" w:history="1">
      <w:r>
        <w:rPr>
          <w:rStyle w:val="Hyperlink"/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relatiicupublicul@dspsibiu.ro</w:t>
      </w:r>
    </w:hyperlink>
  </w:p>
  <w:p w14:paraId="692452DC" w14:textId="77777777" w:rsidR="0093689D" w:rsidRDefault="0093689D" w:rsidP="0093689D">
    <w:pPr>
      <w:spacing w:before="20" w:after="20" w:line="240" w:lineRule="auto"/>
      <w:rPr>
        <w:rFonts w:ascii="Times New Roman" w:eastAsia="Times New Roman" w:hAnsi="Times New Roman" w:cs="Times New Roman"/>
        <w:b/>
        <w:color w:val="000000"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b/>
        <w:color w:val="000000"/>
        <w:kern w:val="0"/>
        <w:lang w:val="en-US"/>
        <w14:ligatures w14:val="none"/>
      </w:rPr>
      <w:t xml:space="preserve">                                                   </w:t>
    </w:r>
    <w:hyperlink r:id="rId3" w:history="1">
      <w:r>
        <w:rPr>
          <w:rStyle w:val="Hyperlink"/>
          <w:rFonts w:ascii="Times New Roman" w:hAnsi="Times New Roman" w:cs="Times New Roman"/>
          <w:b/>
          <w:color w:val="000000"/>
          <w:kern w:val="0"/>
          <w:lang w:val="ro-RO"/>
          <w14:ligatures w14:val="none"/>
        </w:rPr>
        <w:t>www.dspsibiu.ro</w:t>
      </w:r>
    </w:hyperlink>
  </w:p>
  <w:p w14:paraId="318BC1D3" w14:textId="77777777" w:rsidR="0093689D" w:rsidRDefault="0093689D" w:rsidP="0093689D">
    <w:pPr>
      <w:pBdr>
        <w:bottom w:val="single" w:sz="12" w:space="1" w:color="auto"/>
      </w:pBdr>
      <w:spacing w:before="20" w:after="20" w:line="240" w:lineRule="auto"/>
      <w:jc w:val="center"/>
      <w:rPr>
        <w:rFonts w:ascii="Times New Roman" w:eastAsia="Times New Roman" w:hAnsi="Times New Roman" w:cs="Times New Roman"/>
        <w:i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b/>
        <w:i/>
        <w:kern w:val="0"/>
        <w:lang w:val="ro-RO"/>
        <w14:ligatures w14:val="none"/>
      </w:rPr>
      <w:t xml:space="preserve"> </w:t>
    </w:r>
    <w:r>
      <w:rPr>
        <w:rFonts w:ascii="Times New Roman" w:eastAsia="Times New Roman" w:hAnsi="Times New Roman" w:cs="Times New Roman"/>
        <w:i/>
        <w:kern w:val="0"/>
        <w:lang w:val="ro-RO"/>
        <w14:ligatures w14:val="none"/>
      </w:rPr>
      <w:t>Operator  prelucrare date cu caracter personal în conformitate cu Regulamentul (UE) 679/2016  înregistrat sub nr.38232 la ANSPDCP</w:t>
    </w:r>
  </w:p>
  <w:p w14:paraId="599797D0" w14:textId="77777777" w:rsidR="0093689D" w:rsidRDefault="0093689D" w:rsidP="0093689D">
    <w:pPr>
      <w:pBdr>
        <w:bottom w:val="single" w:sz="12" w:space="1" w:color="auto"/>
      </w:pBdr>
      <w:spacing w:before="20" w:after="20" w:line="240" w:lineRule="auto"/>
      <w:jc w:val="center"/>
      <w:rPr>
        <w:rFonts w:ascii="Times New Roman" w:eastAsia="Times New Roman" w:hAnsi="Times New Roman" w:cs="Times New Roman"/>
        <w:b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kern w:val="0"/>
        <w:lang w:val="ro-RO"/>
        <w14:ligatures w14:val="none"/>
      </w:rPr>
      <w:t>COMPARTIMENT RELAȚII CU PUBLICUL</w:t>
    </w:r>
    <w:bookmarkEnd w:id="0"/>
  </w:p>
  <w:p w14:paraId="3AFAB999" w14:textId="77777777" w:rsidR="0093689D" w:rsidRDefault="0093689D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55"/>
    <w:rsid w:val="000525B3"/>
    <w:rsid w:val="000B4F75"/>
    <w:rsid w:val="00180E4A"/>
    <w:rsid w:val="00202BD5"/>
    <w:rsid w:val="00253911"/>
    <w:rsid w:val="002975EA"/>
    <w:rsid w:val="002B5E9E"/>
    <w:rsid w:val="00380500"/>
    <w:rsid w:val="003C1657"/>
    <w:rsid w:val="003F2623"/>
    <w:rsid w:val="004346A2"/>
    <w:rsid w:val="00446255"/>
    <w:rsid w:val="004674D6"/>
    <w:rsid w:val="004711DA"/>
    <w:rsid w:val="00475359"/>
    <w:rsid w:val="00495763"/>
    <w:rsid w:val="004A3707"/>
    <w:rsid w:val="004E524E"/>
    <w:rsid w:val="0056629E"/>
    <w:rsid w:val="005C6BD2"/>
    <w:rsid w:val="005D6C46"/>
    <w:rsid w:val="006A331A"/>
    <w:rsid w:val="006F5346"/>
    <w:rsid w:val="007428F9"/>
    <w:rsid w:val="0076246A"/>
    <w:rsid w:val="00797787"/>
    <w:rsid w:val="007C6B11"/>
    <w:rsid w:val="00800797"/>
    <w:rsid w:val="008049E5"/>
    <w:rsid w:val="00835A3A"/>
    <w:rsid w:val="008B20C8"/>
    <w:rsid w:val="0093689D"/>
    <w:rsid w:val="00966C16"/>
    <w:rsid w:val="00A22031"/>
    <w:rsid w:val="00A33DCD"/>
    <w:rsid w:val="00AC0F4C"/>
    <w:rsid w:val="00B90EA1"/>
    <w:rsid w:val="00BB2192"/>
    <w:rsid w:val="00C63707"/>
    <w:rsid w:val="00C6718B"/>
    <w:rsid w:val="00CA083E"/>
    <w:rsid w:val="00CB157C"/>
    <w:rsid w:val="00CF25B2"/>
    <w:rsid w:val="00D03702"/>
    <w:rsid w:val="00D052B7"/>
    <w:rsid w:val="00D115C6"/>
    <w:rsid w:val="00D31B9F"/>
    <w:rsid w:val="00D34174"/>
    <w:rsid w:val="00D92618"/>
    <w:rsid w:val="00DE0142"/>
    <w:rsid w:val="00ED24C2"/>
    <w:rsid w:val="00F52995"/>
    <w:rsid w:val="00F6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393A4"/>
  <w15:chartTrackingRefBased/>
  <w15:docId w15:val="{01F4E78C-3FD0-4522-84EB-834C5AB6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46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46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46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46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46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46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46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46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46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46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46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46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4625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4625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4625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4625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4625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4625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46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46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46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46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46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4625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4625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4625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46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4625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46255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936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3689D"/>
  </w:style>
  <w:style w:type="paragraph" w:styleId="Subsol">
    <w:name w:val="footer"/>
    <w:basedOn w:val="Normal"/>
    <w:link w:val="SubsolCaracter"/>
    <w:uiPriority w:val="99"/>
    <w:unhideWhenUsed/>
    <w:rsid w:val="00936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3689D"/>
  </w:style>
  <w:style w:type="character" w:styleId="Hyperlink">
    <w:name w:val="Hyperlink"/>
    <w:basedOn w:val="Fontdeparagrafimplicit"/>
    <w:uiPriority w:val="99"/>
    <w:unhideWhenUsed/>
    <w:rsid w:val="0093689D"/>
    <w:rPr>
      <w:color w:val="0000FF"/>
      <w:u w:val="single"/>
    </w:rPr>
  </w:style>
  <w:style w:type="table" w:styleId="Tabelgril">
    <w:name w:val="Table Grid"/>
    <w:basedOn w:val="TabelNormal"/>
    <w:uiPriority w:val="39"/>
    <w:rsid w:val="00471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spj-sibiu.rdslink.ro" TargetMode="External"/><Relationship Id="rId2" Type="http://schemas.openxmlformats.org/officeDocument/2006/relationships/hyperlink" Target="mailto:relatiicupublicul@dspsibiu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93</cp:revision>
  <cp:lastPrinted>2025-11-25T13:22:00Z</cp:lastPrinted>
  <dcterms:created xsi:type="dcterms:W3CDTF">2025-11-25T11:18:00Z</dcterms:created>
  <dcterms:modified xsi:type="dcterms:W3CDTF">2025-11-26T08:03:00Z</dcterms:modified>
</cp:coreProperties>
</file>